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E57699">
        <w:rPr>
          <w:b/>
          <w:smallCaps/>
          <w:sz w:val="32"/>
          <w:szCs w:val="32"/>
        </w:rPr>
        <w:t>1</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4A6275" w:rsidRDefault="00AA0843" w:rsidP="004A6275">
      <w:pPr>
        <w:numPr>
          <w:ilvl w:val="0"/>
          <w:numId w:val="2"/>
        </w:numPr>
        <w:jc w:val="both"/>
      </w:pPr>
      <w:r>
        <w:t>Consider a total cost curve of 4+Q</w:t>
      </w:r>
      <w:r w:rsidRPr="00E0693A">
        <w:rPr>
          <w:vertAlign w:val="superscript"/>
        </w:rPr>
        <w:t>2</w:t>
      </w:r>
      <w:r>
        <w:t xml:space="preserve"> and a</w:t>
      </w:r>
      <w:r w:rsidR="00D316A7">
        <w:t xml:space="preserve"> total revenue equation of </w:t>
      </w:r>
      <w:r>
        <w:t>Q.</w:t>
      </w:r>
      <w:r w:rsidR="00F95A1F">
        <w:t xml:space="preserve"> Find the total profit or loss.</w:t>
      </w:r>
      <w:r w:rsidR="001A2CB4">
        <w:t xml:space="preserve"> Find the</w:t>
      </w:r>
      <w:r w:rsidR="001A2CB4" w:rsidRPr="00ED63CB">
        <w:t xml:space="preserve"> </w:t>
      </w:r>
      <w:r w:rsidR="001A2CB4">
        <w:t>price which results in zero economic profit.</w:t>
      </w:r>
    </w:p>
    <w:p w:rsidR="008E21B6" w:rsidRDefault="008E21B6" w:rsidP="008E21B6">
      <w:pPr>
        <w:ind w:left="720"/>
        <w:jc w:val="both"/>
      </w:pPr>
    </w:p>
    <w:p w:rsidR="008E21B6" w:rsidRDefault="008E21B6" w:rsidP="008E21B6">
      <w:pPr>
        <w:ind w:left="720"/>
        <w:jc w:val="both"/>
        <w:rPr>
          <w:i/>
          <w:sz w:val="28"/>
          <w:szCs w:val="28"/>
        </w:rPr>
      </w:pPr>
      <w:r>
        <w:rPr>
          <w:i/>
          <w:sz w:val="28"/>
          <w:szCs w:val="28"/>
        </w:rPr>
        <w:t>First, MC = 2Q and MR = P = 1.</w:t>
      </w:r>
    </w:p>
    <w:p w:rsidR="008E21B6" w:rsidRDefault="008E21B6" w:rsidP="008E21B6">
      <w:pPr>
        <w:ind w:left="720"/>
        <w:jc w:val="both"/>
        <w:rPr>
          <w:i/>
          <w:sz w:val="28"/>
          <w:szCs w:val="28"/>
        </w:rPr>
      </w:pPr>
      <w:r>
        <w:rPr>
          <w:i/>
          <w:sz w:val="28"/>
          <w:szCs w:val="28"/>
        </w:rPr>
        <w:t>Thus 2Q = 1, Q = ½.</w:t>
      </w:r>
    </w:p>
    <w:p w:rsidR="008E21B6" w:rsidRDefault="008E21B6" w:rsidP="008E21B6">
      <w:pPr>
        <w:ind w:left="720"/>
        <w:jc w:val="both"/>
        <w:rPr>
          <w:i/>
          <w:sz w:val="28"/>
          <w:szCs w:val="28"/>
        </w:rPr>
      </w:pPr>
    </w:p>
    <w:p w:rsidR="008E21B6" w:rsidRDefault="00F95A1F" w:rsidP="008E21B6">
      <w:pPr>
        <w:ind w:left="720"/>
        <w:jc w:val="both"/>
        <w:rPr>
          <w:i/>
          <w:sz w:val="28"/>
          <w:szCs w:val="28"/>
        </w:rPr>
      </w:pPr>
      <w:r>
        <w:rPr>
          <w:i/>
          <w:sz w:val="28"/>
          <w:szCs w:val="28"/>
        </w:rPr>
        <w:t>Our average total cost is (4 + (½)</w:t>
      </w:r>
      <w:r w:rsidRPr="00F95A1F">
        <w:rPr>
          <w:i/>
          <w:sz w:val="28"/>
          <w:szCs w:val="28"/>
          <w:vertAlign w:val="superscript"/>
        </w:rPr>
        <w:t>2</w:t>
      </w:r>
      <w:r>
        <w:rPr>
          <w:i/>
          <w:sz w:val="28"/>
          <w:szCs w:val="28"/>
        </w:rPr>
        <w:t>) / ½ = 8.5; our price is 1 so we lose 7.5 per unit. Profit is -7.5(½) = -3.75</w:t>
      </w:r>
    </w:p>
    <w:p w:rsidR="00F95A1F" w:rsidRDefault="00F95A1F" w:rsidP="008E21B6">
      <w:pPr>
        <w:ind w:left="720"/>
        <w:jc w:val="both"/>
        <w:rPr>
          <w:i/>
          <w:sz w:val="28"/>
          <w:szCs w:val="28"/>
        </w:rPr>
      </w:pPr>
    </w:p>
    <w:p w:rsidR="00F95A1F" w:rsidRPr="008E21B6" w:rsidRDefault="00F95A1F" w:rsidP="008E21B6">
      <w:pPr>
        <w:ind w:left="720"/>
        <w:jc w:val="both"/>
        <w:rPr>
          <w:i/>
          <w:sz w:val="28"/>
          <w:szCs w:val="28"/>
        </w:rPr>
      </w:pPr>
      <w:r>
        <w:rPr>
          <w:i/>
          <w:sz w:val="28"/>
          <w:szCs w:val="28"/>
        </w:rPr>
        <w:t>Or note that total costs is 4 + (½)</w:t>
      </w:r>
      <w:r w:rsidRPr="00F95A1F">
        <w:rPr>
          <w:i/>
          <w:sz w:val="28"/>
          <w:szCs w:val="28"/>
          <w:vertAlign w:val="superscript"/>
        </w:rPr>
        <w:t>2</w:t>
      </w:r>
      <w:r>
        <w:rPr>
          <w:i/>
          <w:sz w:val="28"/>
          <w:szCs w:val="28"/>
        </w:rPr>
        <w:t xml:space="preserve"> = 4.25 and total revenue is ½(1) so total profit is ½ – 4.25 = -3.75</w:t>
      </w:r>
    </w:p>
    <w:p w:rsidR="008E21B6" w:rsidRDefault="008E21B6" w:rsidP="008E21B6">
      <w:pPr>
        <w:ind w:left="720"/>
        <w:jc w:val="both"/>
      </w:pPr>
    </w:p>
    <w:p w:rsidR="00F95A1F" w:rsidRDefault="00F95A1F" w:rsidP="00F95A1F">
      <w:pPr>
        <w:ind w:left="720"/>
        <w:jc w:val="both"/>
        <w:rPr>
          <w:i/>
          <w:sz w:val="28"/>
          <w:szCs w:val="28"/>
        </w:rPr>
      </w:pPr>
      <w:r>
        <w:rPr>
          <w:i/>
          <w:sz w:val="28"/>
          <w:szCs w:val="28"/>
        </w:rPr>
        <w:t xml:space="preserve">ATC </w:t>
      </w:r>
      <w:r w:rsidRPr="00F95A1F">
        <w:rPr>
          <w:i/>
          <w:sz w:val="28"/>
          <w:szCs w:val="28"/>
        </w:rPr>
        <w:t>= (4+Q</w:t>
      </w:r>
      <w:r w:rsidRPr="00F95A1F">
        <w:rPr>
          <w:i/>
          <w:sz w:val="28"/>
          <w:szCs w:val="28"/>
          <w:vertAlign w:val="superscript"/>
        </w:rPr>
        <w:t>2</w:t>
      </w:r>
      <w:r w:rsidRPr="00F95A1F">
        <w:rPr>
          <w:i/>
          <w:sz w:val="28"/>
          <w:szCs w:val="28"/>
        </w:rPr>
        <w:t>) / Q; MC = 2Q</w:t>
      </w:r>
    </w:p>
    <w:p w:rsidR="00F95A1F" w:rsidRDefault="00F95A1F" w:rsidP="00F95A1F">
      <w:pPr>
        <w:ind w:left="720"/>
        <w:jc w:val="both"/>
        <w:rPr>
          <w:i/>
          <w:sz w:val="28"/>
          <w:szCs w:val="28"/>
        </w:rPr>
      </w:pPr>
      <w:r w:rsidRPr="00F95A1F">
        <w:rPr>
          <w:i/>
          <w:sz w:val="28"/>
          <w:szCs w:val="28"/>
        </w:rPr>
        <w:t>(4+Q</w:t>
      </w:r>
      <w:r w:rsidRPr="00F95A1F">
        <w:rPr>
          <w:i/>
          <w:sz w:val="28"/>
          <w:szCs w:val="28"/>
          <w:vertAlign w:val="superscript"/>
        </w:rPr>
        <w:t>2</w:t>
      </w:r>
      <w:r w:rsidRPr="00F95A1F">
        <w:rPr>
          <w:i/>
          <w:sz w:val="28"/>
          <w:szCs w:val="28"/>
        </w:rPr>
        <w:t>) / Q</w:t>
      </w:r>
      <w:r>
        <w:rPr>
          <w:i/>
          <w:sz w:val="28"/>
          <w:szCs w:val="28"/>
        </w:rPr>
        <w:t xml:space="preserve"> = </w:t>
      </w:r>
      <w:r w:rsidRPr="00F95A1F">
        <w:rPr>
          <w:i/>
          <w:sz w:val="28"/>
          <w:szCs w:val="28"/>
        </w:rPr>
        <w:t>2Q</w:t>
      </w:r>
    </w:p>
    <w:p w:rsidR="00F95A1F" w:rsidRPr="00F95A1F" w:rsidRDefault="00F95A1F" w:rsidP="00F95A1F">
      <w:pPr>
        <w:ind w:left="720"/>
        <w:jc w:val="both"/>
        <w:rPr>
          <w:i/>
          <w:sz w:val="28"/>
          <w:szCs w:val="28"/>
        </w:rPr>
      </w:pPr>
      <w:r w:rsidRPr="00F95A1F">
        <w:rPr>
          <w:i/>
          <w:sz w:val="28"/>
          <w:szCs w:val="28"/>
        </w:rPr>
        <w:t>4+Q</w:t>
      </w:r>
      <w:r w:rsidRPr="00F95A1F">
        <w:rPr>
          <w:i/>
          <w:sz w:val="28"/>
          <w:szCs w:val="28"/>
          <w:vertAlign w:val="superscript"/>
        </w:rPr>
        <w:t>2</w:t>
      </w:r>
      <w:r>
        <w:rPr>
          <w:i/>
          <w:sz w:val="28"/>
          <w:szCs w:val="28"/>
        </w:rPr>
        <w:t xml:space="preserve"> = 2</w:t>
      </w:r>
      <w:r w:rsidRPr="00F95A1F">
        <w:rPr>
          <w:i/>
          <w:sz w:val="28"/>
          <w:szCs w:val="28"/>
        </w:rPr>
        <w:t>Q</w:t>
      </w:r>
      <w:r w:rsidRPr="00F95A1F">
        <w:rPr>
          <w:i/>
          <w:sz w:val="28"/>
          <w:szCs w:val="28"/>
          <w:vertAlign w:val="superscript"/>
        </w:rPr>
        <w:t>2</w:t>
      </w:r>
    </w:p>
    <w:p w:rsidR="00F95A1F" w:rsidRPr="00F95A1F" w:rsidRDefault="00F95A1F" w:rsidP="00F95A1F">
      <w:pPr>
        <w:ind w:left="720"/>
        <w:jc w:val="both"/>
        <w:rPr>
          <w:i/>
          <w:sz w:val="28"/>
          <w:szCs w:val="28"/>
        </w:rPr>
      </w:pPr>
      <w:r w:rsidRPr="00F95A1F">
        <w:rPr>
          <w:i/>
          <w:sz w:val="28"/>
          <w:szCs w:val="28"/>
        </w:rPr>
        <w:t>4</w:t>
      </w:r>
      <w:r>
        <w:rPr>
          <w:i/>
          <w:sz w:val="28"/>
          <w:szCs w:val="28"/>
        </w:rPr>
        <w:t xml:space="preserve"> = </w:t>
      </w:r>
      <w:r w:rsidRPr="00F95A1F">
        <w:rPr>
          <w:i/>
          <w:sz w:val="28"/>
          <w:szCs w:val="28"/>
        </w:rPr>
        <w:t>Q</w:t>
      </w:r>
      <w:r w:rsidRPr="00F95A1F">
        <w:rPr>
          <w:i/>
          <w:sz w:val="28"/>
          <w:szCs w:val="28"/>
          <w:vertAlign w:val="superscript"/>
        </w:rPr>
        <w:t>2</w:t>
      </w:r>
    </w:p>
    <w:p w:rsidR="00F95A1F" w:rsidRDefault="00F95A1F" w:rsidP="00F95A1F">
      <w:pPr>
        <w:ind w:left="720"/>
        <w:jc w:val="both"/>
        <w:rPr>
          <w:i/>
          <w:sz w:val="28"/>
          <w:szCs w:val="28"/>
        </w:rPr>
      </w:pPr>
      <w:r>
        <w:rPr>
          <w:i/>
          <w:sz w:val="28"/>
          <w:szCs w:val="28"/>
        </w:rPr>
        <w:t>2 = Q</w:t>
      </w:r>
    </w:p>
    <w:p w:rsidR="00F95A1F" w:rsidRPr="00F95A1F" w:rsidRDefault="00F95A1F" w:rsidP="00F95A1F">
      <w:pPr>
        <w:ind w:left="720"/>
        <w:jc w:val="both"/>
        <w:rPr>
          <w:i/>
          <w:sz w:val="28"/>
          <w:szCs w:val="28"/>
        </w:rPr>
      </w:pPr>
      <w:r>
        <w:rPr>
          <w:i/>
          <w:sz w:val="28"/>
          <w:szCs w:val="28"/>
        </w:rPr>
        <w:t>Thus P = MC = 2(2) = 4</w:t>
      </w:r>
    </w:p>
    <w:p w:rsidR="00F95A1F" w:rsidRDefault="00F95A1F" w:rsidP="00F95A1F">
      <w:pPr>
        <w:ind w:left="720"/>
        <w:jc w:val="both"/>
      </w:pPr>
    </w:p>
    <w:p w:rsidR="001A2CB4" w:rsidRDefault="001A2CB4" w:rsidP="0087453F">
      <w:pPr>
        <w:numPr>
          <w:ilvl w:val="0"/>
          <w:numId w:val="2"/>
        </w:numPr>
        <w:jc w:val="both"/>
      </w:pPr>
      <w:r>
        <w:t xml:space="preserve">One way to interpret the Second Welfare Theorem is that politicians </w:t>
      </w:r>
      <w:r w:rsidRPr="00876015">
        <w:rPr>
          <w:u w:val="single"/>
        </w:rPr>
        <w:t>shouldn’t</w:t>
      </w:r>
      <w:r>
        <w:t xml:space="preserve"> mess around with prices to achieve a just society. Assuming the theorem is correct, why would this be an interpretation?</w:t>
      </w:r>
    </w:p>
    <w:p w:rsidR="001A2CB4" w:rsidRDefault="001A2CB4" w:rsidP="001A2CB4">
      <w:pPr>
        <w:ind w:left="720"/>
        <w:jc w:val="both"/>
      </w:pPr>
    </w:p>
    <w:p w:rsidR="001A2CB4" w:rsidRPr="001A2CB4" w:rsidRDefault="001A2CB4" w:rsidP="001A2CB4">
      <w:pPr>
        <w:ind w:left="720"/>
        <w:jc w:val="both"/>
        <w:rPr>
          <w:i/>
          <w:sz w:val="28"/>
          <w:szCs w:val="28"/>
        </w:rPr>
      </w:pPr>
      <w:r>
        <w:rPr>
          <w:i/>
          <w:sz w:val="28"/>
          <w:szCs w:val="28"/>
        </w:rPr>
        <w:t>The Theorem argues that any equilibrium one might desire comes from Pareto exchanges. The prices to make that outcome will evolve naturally; to get there, all you need is the right endowment. In class, we emphasized changing wealth, such as inheritance. But changing income technically works as well since one’s income is (for the short term, at least) an endowment.</w:t>
      </w:r>
    </w:p>
    <w:p w:rsidR="001A2CB4" w:rsidRDefault="001A2CB4" w:rsidP="001A2CB4">
      <w:pPr>
        <w:ind w:left="720"/>
        <w:jc w:val="both"/>
      </w:pPr>
    </w:p>
    <w:p w:rsidR="00B340C0" w:rsidRDefault="00877330" w:rsidP="0087453F">
      <w:pPr>
        <w:numPr>
          <w:ilvl w:val="0"/>
          <w:numId w:val="2"/>
        </w:numPr>
        <w:jc w:val="both"/>
      </w:pPr>
      <w:r>
        <w:t>In class I used a P.O.W. camp as a real-world example of a (near) pure exchange economy. What is another example (either from fiction or a real example…do not make up a hypothetical example)? Be sure to indicate what the endowments are.</w:t>
      </w:r>
    </w:p>
    <w:p w:rsidR="002932E2" w:rsidRDefault="002932E2" w:rsidP="002932E2">
      <w:pPr>
        <w:ind w:left="720"/>
        <w:jc w:val="both"/>
      </w:pPr>
    </w:p>
    <w:p w:rsidR="002932E2" w:rsidRDefault="002932E2" w:rsidP="002932E2">
      <w:pPr>
        <w:ind w:left="720"/>
        <w:jc w:val="both"/>
        <w:rPr>
          <w:i/>
          <w:sz w:val="28"/>
          <w:szCs w:val="28"/>
        </w:rPr>
      </w:pPr>
      <w:r>
        <w:rPr>
          <w:i/>
          <w:sz w:val="28"/>
          <w:szCs w:val="28"/>
        </w:rPr>
        <w:lastRenderedPageBreak/>
        <w:t>One example is when someone rents a room in a house. There is already an allocation of space (say, which shelves in the cabinet each roommate can store food) that is often reallocated amongst the housemates when the new individual (with his/her different utility function) shows up. Cabinet/refrigerator space is the endowment.</w:t>
      </w:r>
    </w:p>
    <w:p w:rsidR="002932E2" w:rsidRDefault="002932E2" w:rsidP="002932E2">
      <w:pPr>
        <w:ind w:left="720"/>
        <w:jc w:val="both"/>
        <w:rPr>
          <w:i/>
          <w:sz w:val="28"/>
          <w:szCs w:val="28"/>
        </w:rPr>
      </w:pPr>
    </w:p>
    <w:p w:rsidR="002932E2" w:rsidRPr="002932E2" w:rsidRDefault="002932E2" w:rsidP="002932E2">
      <w:pPr>
        <w:ind w:left="720"/>
        <w:jc w:val="both"/>
        <w:rPr>
          <w:i/>
          <w:sz w:val="28"/>
          <w:szCs w:val="28"/>
        </w:rPr>
      </w:pPr>
      <w:r>
        <w:rPr>
          <w:i/>
          <w:sz w:val="28"/>
          <w:szCs w:val="28"/>
        </w:rPr>
        <w:t xml:space="preserve">Another example is children </w:t>
      </w:r>
      <w:r w:rsidR="008E21B6">
        <w:rPr>
          <w:i/>
          <w:sz w:val="28"/>
          <w:szCs w:val="28"/>
        </w:rPr>
        <w:t>during</w:t>
      </w:r>
      <w:r>
        <w:rPr>
          <w:i/>
          <w:sz w:val="28"/>
          <w:szCs w:val="28"/>
        </w:rPr>
        <w:t xml:space="preserve"> lunch. Their endowments (provided by their parents) are their bagged lunch (assuming they did not buy lunch themselves). They consume what they want and trade what they don’t.</w:t>
      </w:r>
    </w:p>
    <w:p w:rsidR="002932E2" w:rsidRDefault="002932E2" w:rsidP="002932E2">
      <w:pPr>
        <w:ind w:left="720"/>
        <w:jc w:val="both"/>
      </w:pPr>
    </w:p>
    <w:p w:rsidR="008731DC" w:rsidRDefault="0034597D" w:rsidP="00AD69E0">
      <w:pPr>
        <w:numPr>
          <w:ilvl w:val="0"/>
          <w:numId w:val="2"/>
        </w:numPr>
        <w:jc w:val="both"/>
      </w:pPr>
      <w:r>
        <w:t xml:space="preserve">Consider the following </w:t>
      </w:r>
      <w:proofErr w:type="spellStart"/>
      <w:r>
        <w:t>Edgeworth</w:t>
      </w:r>
      <w:proofErr w:type="spellEnd"/>
      <w:r>
        <w:t xml:space="preserve"> box for Andrea Alpha (red) and Betty Beta (blue).</w:t>
      </w:r>
      <w:r w:rsidR="009B4AA3">
        <w:t xml:space="preserve"> </w:t>
      </w:r>
      <w:r w:rsidR="00866C48">
        <w:t xml:space="preserve">The number adjacent to the curve is the utility value for that curve. </w:t>
      </w:r>
      <w:r w:rsidR="009B4AA3">
        <w:t xml:space="preserve">How many Pareto efficient points do the </w:t>
      </w:r>
      <w:r w:rsidR="00AD69E0">
        <w:t>illustrated</w:t>
      </w:r>
      <w:r w:rsidR="009B4AA3">
        <w:t xml:space="preserve"> indifference curves show? Draw a </w:t>
      </w:r>
      <w:r w:rsidR="009B4AA3">
        <w:rPr>
          <w:b/>
          <w:i/>
        </w:rPr>
        <w:t>smooth</w:t>
      </w:r>
      <w:r w:rsidR="00AD69E0">
        <w:t xml:space="preserve"> contract curve for this </w:t>
      </w:r>
      <w:proofErr w:type="spellStart"/>
      <w:r w:rsidR="00AD69E0">
        <w:t>Edgeworth</w:t>
      </w:r>
      <w:proofErr w:type="spellEnd"/>
      <w:r w:rsidR="00AD69E0">
        <w:t xml:space="preserve"> box.</w:t>
      </w:r>
    </w:p>
    <w:p w:rsidR="0034597D" w:rsidRDefault="003833C7" w:rsidP="0034597D">
      <w:pPr>
        <w:jc w:val="center"/>
      </w:pPr>
      <w:r w:rsidRPr="003833C7">
        <w:rPr>
          <w:sz w:val="28"/>
          <w:szCs w:val="28"/>
        </w:rPr>
      </w:r>
      <w:r w:rsidRPr="003833C7">
        <w:rPr>
          <w:sz w:val="28"/>
          <w:szCs w:val="28"/>
        </w:rPr>
        <w:pict>
          <v:group id="_x0000_s1082" editas="canvas" style="width:205.7pt;height:177pt;mso-position-horizontal-relative:char;mso-position-vertical-relative:line" coordorigin="2966,2223" coordsize="3165,27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2966;top:2223;width:3165;height:272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84" type="#_x0000_t32" style="position:absolute;left:3830;top:2797;width:1;height:1727" o:connectortype="straight" strokeweight="1.5pt"/>
            <v:shape id="_x0000_s1085" type="#_x0000_t32" style="position:absolute;left:3686;top:4379;width:1726;height:1" o:connectortype="straight" strokeweight="1.5pt"/>
            <v:shapetype id="_x0000_t202" coordsize="21600,21600" o:spt="202" path="m,l,21600r21600,l21600,xe">
              <v:stroke joinstyle="miter"/>
              <v:path gradientshapeok="t" o:connecttype="rect"/>
            </v:shapetype>
            <v:shape id="_x0000_s1086" type="#_x0000_t202" style="position:absolute;left:4261;top:4667;width:575;height:277" filled="f" stroked="f">
              <v:textbox style="mso-next-textbox:#_x0000_s1086" inset="0,0,0,0">
                <w:txbxContent>
                  <w:p w:rsidR="0034597D" w:rsidRDefault="0034597D" w:rsidP="00866C48">
                    <w:proofErr w:type="spellStart"/>
                    <w:r>
                      <w:t>Water</w:t>
                    </w:r>
                    <w:r w:rsidRPr="0034663A">
                      <w:rPr>
                        <w:vertAlign w:val="subscript"/>
                      </w:rPr>
                      <w:t>α</w:t>
                    </w:r>
                    <w:proofErr w:type="spellEnd"/>
                  </w:p>
                </w:txbxContent>
              </v:textbox>
            </v:shape>
            <v:shape id="_x0000_s1087" type="#_x0000_t202" style="position:absolute;left:2966;top:3517;width:574;height:277" filled="f" stroked="f">
              <v:textbox style="mso-next-textbox:#_x0000_s1087" inset="0,0,0,0">
                <w:txbxContent>
                  <w:p w:rsidR="0034597D" w:rsidRDefault="0034597D" w:rsidP="00866C48">
                    <w:proofErr w:type="spellStart"/>
                    <w:r>
                      <w:t>Power</w:t>
                    </w:r>
                    <w:r w:rsidRPr="0034663A">
                      <w:rPr>
                        <w:vertAlign w:val="subscript"/>
                      </w:rPr>
                      <w:t>α</w:t>
                    </w:r>
                    <w:proofErr w:type="spellEnd"/>
                  </w:p>
                </w:txbxContent>
              </v:textbox>
            </v:shape>
            <v:shape id="_x0000_s1088" type="#_x0000_t32" style="position:absolute;left:3686;top:4235;width:143;height:1;flip:x" o:connectortype="straight" strokeweight="1.5pt"/>
            <v:shape id="_x0000_s1089" type="#_x0000_t32" style="position:absolute;left:3686;top:4092;width:143;height:1;flip:x" o:connectortype="straight" strokeweight="1.5pt"/>
            <v:shape id="_x0000_s1090" type="#_x0000_t32" style="position:absolute;left:3686;top:3948;width:143;height:2;flip:x" o:connectortype="straight" strokeweight="1.5pt"/>
            <v:shape id="_x0000_s1091" type="#_x0000_t32" style="position:absolute;left:3686;top:3804;width:143;height:1;flip:x" o:connectortype="straight" strokeweight="1.5pt"/>
            <v:shape id="_x0000_s1092" type="#_x0000_t32" style="position:absolute;left:3686;top:3661;width:143;height:1;flip:x" o:connectortype="straight" strokeweight="1.5pt"/>
            <v:shape id="_x0000_s1093" type="#_x0000_t32" style="position:absolute;left:3686;top:3516;width:143;height:2;flip:x" o:connectortype="straight" strokeweight="1.5pt"/>
            <v:shape id="_x0000_s1094" type="#_x0000_t32" style="position:absolute;left:3686;top:3372;width:143;height:1;flip:x" o:connectortype="straight" strokeweight="1.5pt"/>
            <v:shape id="_x0000_s1095" type="#_x0000_t32" style="position:absolute;left:3686;top:3228;width:143;height:1;flip:x" o:connectortype="straight" strokeweight="1.5pt"/>
            <v:shape id="_x0000_s1096" type="#_x0000_t32" style="position:absolute;left:3686;top:3085;width:143;height:1;flip:x" o:connectortype="straight" strokeweight="1.5pt"/>
            <v:shape id="_x0000_s1097" type="#_x0000_t32" style="position:absolute;left:3973;top:4379;width:1;height:145" o:connectortype="straight" strokeweight="1.5pt"/>
            <v:shape id="_x0000_s1098" type="#_x0000_t32" style="position:absolute;left:4117;top:4379;width:1;height:145" o:connectortype="straight" strokeweight="1.5pt"/>
            <v:shape id="_x0000_s1099" type="#_x0000_t32" style="position:absolute;left:4261;top:4379;width:1;height:145" o:connectortype="straight" strokeweight="1.5pt"/>
            <v:shape id="_x0000_s1100" type="#_x0000_t32" style="position:absolute;left:4405;top:4379;width:1;height:145" o:connectortype="straight" strokeweight="1.5pt"/>
            <v:shape id="_x0000_s1101" type="#_x0000_t32" style="position:absolute;left:4549;top:4379;width:1;height:145" o:connectortype="straight" strokeweight="1.5pt"/>
            <v:shape id="_x0000_s1102" type="#_x0000_t32" style="position:absolute;left:4692;top:4379;width:1;height:145" o:connectortype="straight" strokeweight="1.5pt"/>
            <v:shape id="_x0000_s1103" type="#_x0000_t32" style="position:absolute;left:4836;top:4379;width:1;height:145" o:connectortype="straight" strokeweight="1.5pt"/>
            <v:shape id="_x0000_s1104" type="#_x0000_t32" style="position:absolute;left:4980;top:4379;width:1;height:145" o:connectortype="straight" strokeweight="1.5pt"/>
            <v:shape id="_x0000_s1105" type="#_x0000_t32" style="position:absolute;left:5124;top:4379;width:1;height:145" o:connectortype="straight" strokeweight="1.5pt"/>
            <v:shape id="_x0000_s1106" type="#_x0000_t202" style="position:absolute;left:3686;top:4522;width:283;height:276" filled="f" stroked="f">
              <v:textbox style="mso-next-textbox:#_x0000_s1106" inset="0,0,0,0">
                <w:txbxContent>
                  <w:p w:rsidR="0034597D" w:rsidRDefault="0034597D" w:rsidP="00866C48">
                    <w:pPr>
                      <w:jc w:val="center"/>
                    </w:pPr>
                    <w:r>
                      <w:t>0</w:t>
                    </w:r>
                  </w:p>
                </w:txbxContent>
              </v:textbox>
            </v:shape>
            <v:shape id="_x0000_s1107" type="#_x0000_t202" style="position:absolute;left:3973;top:4522;width:283;height:276" filled="f" stroked="f">
              <v:textbox style="mso-next-textbox:#_x0000_s1107" inset="0,0,0,0">
                <w:txbxContent>
                  <w:p w:rsidR="0034597D" w:rsidRDefault="0034597D" w:rsidP="00866C48">
                    <w:pPr>
                      <w:jc w:val="center"/>
                    </w:pPr>
                    <w:r>
                      <w:t>20</w:t>
                    </w:r>
                  </w:p>
                </w:txbxContent>
              </v:textbox>
            </v:shape>
            <v:shape id="_x0000_s1108" type="#_x0000_t202" style="position:absolute;left:4261;top:4522;width:283;height:276" filled="f" stroked="f">
              <v:textbox style="mso-next-textbox:#_x0000_s1108" inset="0,0,0,0">
                <w:txbxContent>
                  <w:p w:rsidR="0034597D" w:rsidRDefault="0034597D" w:rsidP="00866C48">
                    <w:pPr>
                      <w:jc w:val="center"/>
                    </w:pPr>
                    <w:r>
                      <w:t>40</w:t>
                    </w:r>
                  </w:p>
                </w:txbxContent>
              </v:textbox>
            </v:shape>
            <v:shape id="_x0000_s1109" type="#_x0000_t202" style="position:absolute;left:4836;top:4523;width:282;height:276" filled="f" stroked="f">
              <v:textbox style="mso-next-textbox:#_x0000_s1109" inset="0,0,0,0">
                <w:txbxContent>
                  <w:p w:rsidR="0034597D" w:rsidRDefault="0034597D" w:rsidP="00866C48">
                    <w:pPr>
                      <w:jc w:val="center"/>
                    </w:pPr>
                    <w:r>
                      <w:t>80</w:t>
                    </w:r>
                  </w:p>
                </w:txbxContent>
              </v:textbox>
            </v:shape>
            <v:shape id="_x0000_s1110" type="#_x0000_t202" style="position:absolute;left:5124;top:4522;width:283;height:276" filled="f" stroked="f">
              <v:textbox style="mso-next-textbox:#_x0000_s1110" inset="0,0,0,0">
                <w:txbxContent>
                  <w:p w:rsidR="0034597D" w:rsidRDefault="0034597D" w:rsidP="00866C48">
                    <w:pPr>
                      <w:jc w:val="center"/>
                    </w:pPr>
                    <w:r>
                      <w:t>100</w:t>
                    </w:r>
                  </w:p>
                </w:txbxContent>
              </v:textbox>
            </v:shape>
            <v:shape id="_x0000_s1111" type="#_x0000_t202" style="position:absolute;left:4549;top:4522;width:283;height:276" filled="f" stroked="f">
              <v:textbox style="mso-next-textbox:#_x0000_s1111" inset="0,0,0,0">
                <w:txbxContent>
                  <w:p w:rsidR="0034597D" w:rsidRDefault="0034597D" w:rsidP="00866C48">
                    <w:pPr>
                      <w:jc w:val="center"/>
                    </w:pPr>
                    <w:r>
                      <w:t>60</w:t>
                    </w:r>
                  </w:p>
                </w:txbxContent>
              </v:textbox>
            </v:shape>
            <v:shape id="_x0000_s1112" type="#_x0000_t202" style="position:absolute;left:3398;top:4235;width:283;height:276" filled="f" stroked="f">
              <v:textbox style="mso-next-textbox:#_x0000_s1112" inset="0,0,0,0">
                <w:txbxContent>
                  <w:p w:rsidR="0034597D" w:rsidRDefault="0034597D" w:rsidP="00866C48">
                    <w:pPr>
                      <w:jc w:val="right"/>
                    </w:pPr>
                    <w:r>
                      <w:t>0</w:t>
                    </w:r>
                  </w:p>
                </w:txbxContent>
              </v:textbox>
            </v:shape>
            <v:shape id="_x0000_s1113" type="#_x0000_t202" style="position:absolute;left:3398;top:3947;width:282;height:276" filled="f" stroked="f">
              <v:textbox style="mso-next-textbox:#_x0000_s1113" inset="0,0,0,0">
                <w:txbxContent>
                  <w:p w:rsidR="0034597D" w:rsidRDefault="0034597D" w:rsidP="00866C48">
                    <w:pPr>
                      <w:jc w:val="right"/>
                    </w:pPr>
                    <w:r>
                      <w:t>20</w:t>
                    </w:r>
                  </w:p>
                </w:txbxContent>
              </v:textbox>
            </v:shape>
            <v:shape id="_x0000_s1114" type="#_x0000_t202" style="position:absolute;left:3398;top:3660;width:282;height:276" filled="f" stroked="f">
              <v:textbox style="mso-next-textbox:#_x0000_s1114" inset="0,0,0,0">
                <w:txbxContent>
                  <w:p w:rsidR="0034597D" w:rsidRDefault="0034597D" w:rsidP="00866C48">
                    <w:pPr>
                      <w:jc w:val="right"/>
                    </w:pPr>
                    <w:r>
                      <w:t>40</w:t>
                    </w:r>
                  </w:p>
                </w:txbxContent>
              </v:textbox>
            </v:shape>
            <v:shape id="_x0000_s1115" type="#_x0000_t202" style="position:absolute;left:3398;top:3372;width:283;height:276" filled="f" stroked="f">
              <v:textbox style="mso-next-textbox:#_x0000_s1115" inset="0,0,0,0">
                <w:txbxContent>
                  <w:p w:rsidR="0034597D" w:rsidRDefault="0034597D" w:rsidP="00866C48">
                    <w:pPr>
                      <w:jc w:val="right"/>
                    </w:pPr>
                    <w:r>
                      <w:t>60</w:t>
                    </w:r>
                  </w:p>
                </w:txbxContent>
              </v:textbox>
            </v:shape>
            <v:shape id="_x0000_s1116" type="#_x0000_t202" style="position:absolute;left:3398;top:2797;width:282;height:276" filled="f" stroked="f">
              <v:textbox style="mso-next-textbox:#_x0000_s1116" inset="0,0,0,0">
                <w:txbxContent>
                  <w:p w:rsidR="0034597D" w:rsidRDefault="0034597D" w:rsidP="00866C48">
                    <w:pPr>
                      <w:jc w:val="right"/>
                    </w:pPr>
                    <w:r>
                      <w:t>100</w:t>
                    </w:r>
                  </w:p>
                </w:txbxContent>
              </v:textbox>
            </v:shape>
            <v:shape id="_x0000_s1117" type="#_x0000_t202" style="position:absolute;left:3398;top:3085;width:282;height:276" filled="f" stroked="f">
              <v:textbox style="mso-next-textbox:#_x0000_s1117" inset="0,0,0,0">
                <w:txbxContent>
                  <w:p w:rsidR="0034597D" w:rsidRDefault="0034597D" w:rsidP="00866C48">
                    <w:pPr>
                      <w:jc w:val="right"/>
                    </w:pPr>
                    <w:r>
                      <w:t>80</w:t>
                    </w:r>
                  </w:p>
                </w:txbxContent>
              </v:textbox>
            </v:shape>
            <v:shape id="_x0000_s1119" type="#_x0000_t32" style="position:absolute;left:3974;top:2798;width:1;height:144" o:connectortype="straight" strokeweight="1.5pt"/>
            <v:shape id="_x0000_s1120" type="#_x0000_t32" style="position:absolute;left:4118;top:2798;width:1;height:144" o:connectortype="straight" strokeweight="1.5pt"/>
            <v:shape id="_x0000_s1121" type="#_x0000_t32" style="position:absolute;left:4263;top:2798;width:1;height:144" o:connectortype="straight" strokeweight="1.5pt"/>
            <v:shape id="_x0000_s1122" type="#_x0000_t32" style="position:absolute;left:4405;top:2798;width:2;height:144" o:connectortype="straight" strokeweight="1.5pt"/>
            <v:shape id="_x0000_s1123" type="#_x0000_t32" style="position:absolute;left:4549;top:2798;width:2;height:144" o:connectortype="straight" strokeweight="1.5pt"/>
            <v:shape id="_x0000_s1124" type="#_x0000_t32" style="position:absolute;left:4693;top:2798;width:1;height:144" o:connectortype="straight" strokeweight="1.5pt"/>
            <v:shape id="_x0000_s1125" type="#_x0000_t32" style="position:absolute;left:4837;top:2798;width:1;height:144" o:connectortype="straight" strokeweight="1.5pt"/>
            <v:shape id="_x0000_s1126" type="#_x0000_t32" style="position:absolute;left:4981;top:2798;width:1;height:144" o:connectortype="straight" strokeweight="1.5pt"/>
            <v:shape id="_x0000_s1127" type="#_x0000_t32" style="position:absolute;left:5126;top:2798;width:1;height:144" o:connectortype="straight" strokeweight="1.5pt"/>
            <v:shape id="_x0000_s1128" type="#_x0000_t32" style="position:absolute;left:5268;top:2798;width:1;height:1727" o:connectortype="straight" strokeweight="1.5pt"/>
            <v:shape id="_x0000_s1129" type="#_x0000_t32" style="position:absolute;left:3686;top:2942;width:1726;height:1" o:connectortype="straight" strokeweight="1.5pt"/>
            <v:shape id="_x0000_s1130" type="#_x0000_t32" style="position:absolute;left:5268;top:4236;width:143;height:2;flip:x" o:connectortype="straight" strokeweight="1.5pt"/>
            <v:shape id="_x0000_s1131" type="#_x0000_t32" style="position:absolute;left:5268;top:4093;width:143;height:2;flip:x" o:connectortype="straight" strokeweight="1.5pt"/>
            <v:shape id="_x0000_s1132" type="#_x0000_t32" style="position:absolute;left:5268;top:3950;width:143;height:2;flip:x" o:connectortype="straight" strokeweight="1.5pt"/>
            <v:shape id="_x0000_s1133" type="#_x0000_t32" style="position:absolute;left:5268;top:3806;width:143;height:1;flip:x" o:connectortype="straight" strokeweight="1.5pt"/>
            <v:shape id="_x0000_s1134" type="#_x0000_t32" style="position:absolute;left:5268;top:3663;width:143;height:1;flip:x" o:connectortype="straight" strokeweight="1.5pt"/>
            <v:shape id="_x0000_s1135" type="#_x0000_t32" style="position:absolute;left:5268;top:3517;width:143;height:3;flip:x" o:connectortype="straight" strokeweight="1.5pt"/>
            <v:shape id="_x0000_s1136" type="#_x0000_t32" style="position:absolute;left:5268;top:3374;width:143;height:1;flip:x" o:connectortype="straight" strokeweight="1.5pt"/>
            <v:shape id="_x0000_s1137" type="#_x0000_t32" style="position:absolute;left:5268;top:3229;width:143;height:2;flip:x" o:connectortype="straight" strokeweight="1.5pt"/>
            <v:shape id="_x0000_s1138" type="#_x0000_t32" style="position:absolute;left:5268;top:3086;width:143;height:2;flip:x" o:connectortype="straight" strokeweight="1.5pt"/>
            <v:shape id="_x0000_s1139" type="#_x0000_t202" style="position:absolute;left:5268;top:3086;width:384;height:275" filled="f" stroked="f">
              <v:textbox style="mso-next-textbox:#_x0000_s1139" inset="0,0,0,0">
                <w:txbxContent>
                  <w:p w:rsidR="0034597D" w:rsidRDefault="0034597D" w:rsidP="00866C48">
                    <w:pPr>
                      <w:jc w:val="right"/>
                    </w:pPr>
                    <w:r>
                      <w:t>20</w:t>
                    </w:r>
                  </w:p>
                </w:txbxContent>
              </v:textbox>
            </v:shape>
            <v:shape id="_x0000_s1140" type="#_x0000_t202" style="position:absolute;left:5268;top:3373;width:384;height:276" filled="f" stroked="f">
              <v:textbox style="mso-next-textbox:#_x0000_s1140" inset="0,0,0,0">
                <w:txbxContent>
                  <w:p w:rsidR="0034597D" w:rsidRDefault="0034597D" w:rsidP="00866C48">
                    <w:pPr>
                      <w:jc w:val="right"/>
                    </w:pPr>
                    <w:r>
                      <w:t>40</w:t>
                    </w:r>
                  </w:p>
                </w:txbxContent>
              </v:textbox>
            </v:shape>
            <v:shape id="_x0000_s1141" type="#_x0000_t202" style="position:absolute;left:5268;top:3661;width:384;height:275" filled="f" stroked="f">
              <v:textbox style="mso-next-textbox:#_x0000_s1141" inset="0,0,0,0">
                <w:txbxContent>
                  <w:p w:rsidR="0034597D" w:rsidRDefault="0034597D" w:rsidP="00866C48">
                    <w:pPr>
                      <w:jc w:val="right"/>
                    </w:pPr>
                    <w:r>
                      <w:t>60</w:t>
                    </w:r>
                  </w:p>
                </w:txbxContent>
              </v:textbox>
            </v:shape>
            <v:shape id="_x0000_s1142" type="#_x0000_t202" style="position:absolute;left:5268;top:3948;width:384;height:276" filled="f" stroked="f">
              <v:textbox style="mso-next-textbox:#_x0000_s1142" inset="0,0,0,0">
                <w:txbxContent>
                  <w:p w:rsidR="0034597D" w:rsidRDefault="0034597D" w:rsidP="00866C48">
                    <w:pPr>
                      <w:jc w:val="right"/>
                    </w:pPr>
                    <w:r>
                      <w:t>80</w:t>
                    </w:r>
                  </w:p>
                </w:txbxContent>
              </v:textbox>
            </v:shape>
            <v:shape id="_x0000_s1143" type="#_x0000_t202" style="position:absolute;left:4836;top:2511;width:283;height:275" filled="f" stroked="f">
              <v:textbox style="mso-next-textbox:#_x0000_s1143" inset="0,0,0,0">
                <w:txbxContent>
                  <w:p w:rsidR="0034597D" w:rsidRDefault="0034597D" w:rsidP="00866C48">
                    <w:pPr>
                      <w:jc w:val="center"/>
                    </w:pPr>
                    <w:r>
                      <w:t>20</w:t>
                    </w:r>
                  </w:p>
                </w:txbxContent>
              </v:textbox>
            </v:shape>
            <v:shape id="_x0000_s1144" type="#_x0000_t202" style="position:absolute;left:4549;top:2511;width:282;height:275" filled="f" stroked="f">
              <v:textbox style="mso-next-textbox:#_x0000_s1144" inset="0,0,0,0">
                <w:txbxContent>
                  <w:p w:rsidR="0034597D" w:rsidRDefault="0034597D" w:rsidP="00866C48">
                    <w:pPr>
                      <w:jc w:val="center"/>
                    </w:pPr>
                    <w:r>
                      <w:t>40</w:t>
                    </w:r>
                  </w:p>
                </w:txbxContent>
              </v:textbox>
            </v:shape>
            <v:shape id="_x0000_s1145" type="#_x0000_t202" style="position:absolute;left:4261;top:2511;width:283;height:275" filled="f" stroked="f">
              <v:textbox style="mso-next-textbox:#_x0000_s1145" inset="0,0,0,0">
                <w:txbxContent>
                  <w:p w:rsidR="0034597D" w:rsidRDefault="0034597D" w:rsidP="00866C48">
                    <w:pPr>
                      <w:jc w:val="center"/>
                    </w:pPr>
                    <w:r>
                      <w:t>60</w:t>
                    </w:r>
                  </w:p>
                </w:txbxContent>
              </v:textbox>
            </v:shape>
            <v:shape id="_x0000_s1146" type="#_x0000_t202" style="position:absolute;left:3973;top:2511;width:281;height:275" filled="f" stroked="f">
              <v:textbox style="mso-next-textbox:#_x0000_s1146" inset="0,0,0,0">
                <w:txbxContent>
                  <w:p w:rsidR="0034597D" w:rsidRDefault="0034597D" w:rsidP="00866C48">
                    <w:pPr>
                      <w:jc w:val="center"/>
                    </w:pPr>
                    <w:r>
                      <w:t>80</w:t>
                    </w:r>
                  </w:p>
                </w:txbxContent>
              </v:textbox>
            </v:shape>
            <v:shape id="_x0000_s1147" type="#_x0000_t202" style="position:absolute;left:5556;top:3517;width:574;height:277" filled="f" stroked="f">
              <v:textbox style="mso-next-textbox:#_x0000_s1147" inset="0,0,0,0">
                <w:txbxContent>
                  <w:p w:rsidR="0034597D" w:rsidRDefault="0034597D" w:rsidP="00866C48">
                    <w:proofErr w:type="spellStart"/>
                    <w:r>
                      <w:t>Power</w:t>
                    </w:r>
                    <w:r>
                      <w:rPr>
                        <w:vertAlign w:val="subscript"/>
                      </w:rPr>
                      <w:t>β</w:t>
                    </w:r>
                    <w:proofErr w:type="spellEnd"/>
                  </w:p>
                </w:txbxContent>
              </v:textbox>
            </v:shape>
            <v:shape id="_x0000_s1148" type="#_x0000_t202" style="position:absolute;left:4261;top:2314;width:576;height:278" filled="f" stroked="f">
              <v:textbox style="mso-next-textbox:#_x0000_s1148" inset="0,0,0,0">
                <w:txbxContent>
                  <w:p w:rsidR="0034597D" w:rsidRDefault="0034597D" w:rsidP="00866C48">
                    <w:proofErr w:type="spellStart"/>
                    <w:r>
                      <w:t>Water</w:t>
                    </w:r>
                    <w:r>
                      <w:rPr>
                        <w:vertAlign w:val="subscript"/>
                      </w:rPr>
                      <w:t>β</w:t>
                    </w:r>
                    <w:proofErr w:type="spellEnd"/>
                  </w:p>
                </w:txbxContent>
              </v:textbox>
            </v:shape>
            <v:shape id="_x0000_s1149" type="#_x0000_t202" style="position:absolute;left:5268;top:4236;width:384;height:274" filled="f" stroked="f">
              <v:textbox style="mso-next-textbox:#_x0000_s1149" inset="0,0,0,0">
                <w:txbxContent>
                  <w:p w:rsidR="0034597D" w:rsidRDefault="0034597D" w:rsidP="00866C48">
                    <w:pPr>
                      <w:jc w:val="right"/>
                    </w:pPr>
                    <w:r>
                      <w:t>100</w:t>
                    </w:r>
                  </w:p>
                </w:txbxContent>
              </v:textbox>
            </v:shape>
            <v:shape id="_x0000_s1150" type="#_x0000_t202" style="position:absolute;left:3685;top:2511;width:283;height:275" filled="f" stroked="f">
              <v:textbox style="mso-next-textbox:#_x0000_s1150" inset="0,0,0,0">
                <w:txbxContent>
                  <w:p w:rsidR="0034597D" w:rsidRDefault="0034597D" w:rsidP="00866C48">
                    <w:pPr>
                      <w:jc w:val="center"/>
                    </w:pPr>
                    <w:r>
                      <w:t>100</w:t>
                    </w:r>
                  </w:p>
                </w:txbxContent>
              </v:textbox>
            </v:shape>
            <v:shape id="_x0000_s1151" type="#_x0000_t202" style="position:absolute;left:5124;top:2511;width:283;height:275" filled="f" stroked="f">
              <v:textbox style="mso-next-textbox:#_x0000_s1151" inset="0,0,0,0">
                <w:txbxContent>
                  <w:p w:rsidR="0034597D" w:rsidRDefault="0034597D" w:rsidP="00866C48">
                    <w:pPr>
                      <w:jc w:val="center"/>
                    </w:pPr>
                    <w:r>
                      <w:t>0</w:t>
                    </w:r>
                  </w:p>
                </w:txbxContent>
              </v:textbox>
            </v:shape>
            <v:shape id="_x0000_s1152" type="#_x0000_t202" style="position:absolute;left:5268;top:2798;width:384;height:276" filled="f" stroked="f">
              <v:textbox style="mso-next-textbox:#_x0000_s1152" inset="0,0,0,0">
                <w:txbxContent>
                  <w:p w:rsidR="0034597D" w:rsidRDefault="0034597D" w:rsidP="00866C48">
                    <w:pPr>
                      <w:jc w:val="right"/>
                    </w:pPr>
                    <w:r>
                      <w:t>0</w:t>
                    </w:r>
                  </w:p>
                </w:txbxContent>
              </v:textbox>
            </v:shape>
            <v:shape id="_x0000_s1169" style="position:absolute;left:4259;top:3531;width:862;height:863;rotation:11503092fd" coordsize="1114,1468" path="m,c328,115,657,231,843,476v186,245,228,618,271,992e" filled="f" strokecolor="#c0504d" strokeweight="1.5pt">
              <v:path arrowok="t"/>
            </v:shape>
            <v:shape id="_x0000_s1171" style="position:absolute;left:4443;top:3419;width:862;height:862;rotation:11503092fd" coordsize="1114,1468" path="m,c328,115,657,231,843,476v186,245,228,618,271,992e" filled="f" strokecolor="#c0504d" strokeweight="1.5pt">
              <v:path arrowok="t"/>
            </v:shape>
            <v:shape id="_x0000_s1172" style="position:absolute;left:4608;top:3231;width:861;height:864;rotation:11503092fd" coordsize="1114,1468" path="m,c328,115,657,231,843,476v186,245,228,618,271,992e" filled="f" strokecolor="#c0504d" strokeweight="1.5pt">
              <v:path arrowok="t"/>
            </v:shape>
            <v:shape id="_x0000_s1173" style="position:absolute;left:4762;top:3032;width:861;height:863;rotation:11503092fd" coordsize="1114,1468" path="m,c328,115,657,231,843,476v186,245,228,618,271,992e" filled="f" strokecolor="#c0504d" strokeweight="1.5pt">
              <v:path arrowok="t"/>
            </v:shape>
            <v:shape id="_x0000_s1185" style="position:absolute;left:4013;top:3743;width:862;height:863;rotation:-273308fd" coordsize="1114,1468" path="m,c328,115,657,231,843,476v186,245,228,618,271,992e" filled="f" strokecolor="#4f81bd" strokeweight="1.5pt">
              <v:path arrowok="t"/>
            </v:shape>
            <v:shape id="_x0000_s1186" style="position:absolute;left:4178;top:3556;width:861;height:864;rotation:-273344fd" coordsize="1114,1468" path="m,c328,115,657,231,843,476v186,245,228,618,271,992e" filled="f" strokecolor="#4f81bd" strokeweight="1.5pt">
              <v:path arrowok="t"/>
            </v:shape>
            <v:shape id="_x0000_s1187" style="position:absolute;left:4332;top:3356;width:863;height:862;rotation:-273308fd" coordsize="1114,1468" path="m,c328,115,657,231,843,476v186,245,228,618,271,992e" filled="f" strokecolor="#4f81bd" strokeweight="1.5pt">
              <v:path arrowok="t"/>
            </v:shape>
            <v:shape id="_x0000_s1188" style="position:absolute;left:4540;top:3266;width:862;height:864;rotation:-273308fd" coordsize="1114,1468" path="m,c328,115,657,231,843,476v186,245,228,618,271,992e" filled="f" strokecolor="#4f81bd" strokeweight="1.5pt">
              <v:path arrowok="t"/>
            </v:shape>
            <v:shape id="_x0000_s1189" type="#_x0000_t202" style="position:absolute;left:4373;top:3209;width:189;height:176" filled="f" stroked="f">
              <v:textbox style="mso-next-textbox:#_x0000_s1189" inset="0,0,0,0">
                <w:txbxContent>
                  <w:p w:rsidR="00866C48" w:rsidRPr="00866C48" w:rsidRDefault="00B53B90" w:rsidP="00866C48">
                    <w:pPr>
                      <w:jc w:val="center"/>
                      <w:rPr>
                        <w:b/>
                        <w:color w:val="4F81BD"/>
                        <w:sz w:val="20"/>
                        <w:szCs w:val="20"/>
                      </w:rPr>
                    </w:pPr>
                    <w:r>
                      <w:rPr>
                        <w:b/>
                        <w:color w:val="4F81BD"/>
                        <w:sz w:val="20"/>
                        <w:szCs w:val="20"/>
                      </w:rPr>
                      <w:t>3</w:t>
                    </w:r>
                  </w:p>
                </w:txbxContent>
              </v:textbox>
            </v:shape>
            <v:shape id="_x0000_s1190" type="#_x0000_t202" style="position:absolute;left:4156;top:3308;width:189;height:176" filled="f" stroked="f">
              <v:textbox style="mso-next-textbox:#_x0000_s1190" inset="0,0,0,0">
                <w:txbxContent>
                  <w:p w:rsidR="00866C48" w:rsidRPr="00866C48" w:rsidRDefault="00B53B90" w:rsidP="00866C48">
                    <w:pPr>
                      <w:jc w:val="center"/>
                      <w:rPr>
                        <w:b/>
                        <w:color w:val="4F81BD"/>
                        <w:sz w:val="20"/>
                        <w:szCs w:val="20"/>
                      </w:rPr>
                    </w:pPr>
                    <w:r>
                      <w:rPr>
                        <w:b/>
                        <w:color w:val="4F81BD"/>
                        <w:sz w:val="20"/>
                        <w:szCs w:val="20"/>
                      </w:rPr>
                      <w:t>5</w:t>
                    </w:r>
                  </w:p>
                </w:txbxContent>
              </v:textbox>
            </v:shape>
            <v:shape id="_x0000_s1271" type="#_x0000_t202" style="position:absolute;left:4023;top:3492;width:189;height:176" filled="f" stroked="f">
              <v:textbox style="mso-next-textbox:#_x0000_s1271" inset="0,0,0,0">
                <w:txbxContent>
                  <w:p w:rsidR="00866C48" w:rsidRPr="00866C48" w:rsidRDefault="005B0E95" w:rsidP="00866C48">
                    <w:pPr>
                      <w:jc w:val="center"/>
                      <w:rPr>
                        <w:b/>
                        <w:color w:val="4F81BD"/>
                        <w:sz w:val="20"/>
                        <w:szCs w:val="20"/>
                      </w:rPr>
                    </w:pPr>
                    <w:r>
                      <w:rPr>
                        <w:b/>
                        <w:color w:val="4F81BD"/>
                        <w:sz w:val="20"/>
                        <w:szCs w:val="20"/>
                      </w:rPr>
                      <w:t>8</w:t>
                    </w:r>
                  </w:p>
                </w:txbxContent>
              </v:textbox>
            </v:shape>
            <v:shape id="_x0000_s1272" type="#_x0000_t202" style="position:absolute;left:3831;top:3682;width:189;height:176" filled="f" stroked="f">
              <v:textbox style="mso-next-textbox:#_x0000_s1272" inset="0,0,0,0">
                <w:txbxContent>
                  <w:p w:rsidR="00866C48" w:rsidRPr="00866C48" w:rsidRDefault="00B53B90" w:rsidP="00866C48">
                    <w:pPr>
                      <w:jc w:val="center"/>
                      <w:rPr>
                        <w:b/>
                        <w:color w:val="4F81BD"/>
                        <w:sz w:val="20"/>
                        <w:szCs w:val="20"/>
                      </w:rPr>
                    </w:pPr>
                    <w:r>
                      <w:rPr>
                        <w:b/>
                        <w:color w:val="4F81BD"/>
                        <w:sz w:val="20"/>
                        <w:szCs w:val="20"/>
                      </w:rPr>
                      <w:t>9</w:t>
                    </w:r>
                  </w:p>
                </w:txbxContent>
              </v:textbox>
            </v:shape>
            <v:shape id="_x0000_s1273" type="#_x0000_t202" style="position:absolute;left:5075;top:4227;width:190;height:176" filled="f" stroked="f">
              <v:textbox style="mso-next-textbox:#_x0000_s1273" inset="0,0,0,0">
                <w:txbxContent>
                  <w:p w:rsidR="00866C48" w:rsidRPr="00866C48" w:rsidRDefault="00B53B90" w:rsidP="00866C48">
                    <w:pPr>
                      <w:jc w:val="center"/>
                      <w:rPr>
                        <w:b/>
                        <w:color w:val="C0504D"/>
                        <w:sz w:val="20"/>
                        <w:szCs w:val="20"/>
                      </w:rPr>
                    </w:pPr>
                    <w:r>
                      <w:rPr>
                        <w:b/>
                        <w:color w:val="C0504D"/>
                        <w:sz w:val="20"/>
                        <w:szCs w:val="20"/>
                      </w:rPr>
                      <w:t>4</w:t>
                    </w:r>
                  </w:p>
                </w:txbxContent>
              </v:textbox>
            </v:shape>
            <v:shape id="_x0000_s1274" type="#_x0000_t202" style="position:absolute;left:5259;top:4082;width:190;height:176" filled="f" stroked="f">
              <v:textbox style="mso-next-textbox:#_x0000_s1274" inset="0,0,0,0">
                <w:txbxContent>
                  <w:p w:rsidR="00866C48" w:rsidRPr="00866C48" w:rsidRDefault="00B53B90" w:rsidP="00866C48">
                    <w:pPr>
                      <w:jc w:val="center"/>
                      <w:rPr>
                        <w:b/>
                        <w:color w:val="C0504D"/>
                        <w:sz w:val="20"/>
                        <w:szCs w:val="20"/>
                      </w:rPr>
                    </w:pPr>
                    <w:r>
                      <w:rPr>
                        <w:b/>
                        <w:color w:val="C0504D"/>
                        <w:sz w:val="20"/>
                        <w:szCs w:val="20"/>
                      </w:rPr>
                      <w:t>5</w:t>
                    </w:r>
                  </w:p>
                </w:txbxContent>
              </v:textbox>
            </v:shape>
            <v:shape id="_x0000_s1275" type="#_x0000_t202" style="position:absolute;left:5379;top:3886;width:190;height:176" filled="f" stroked="f">
              <v:textbox style="mso-next-textbox:#_x0000_s1275" inset="0,0,0,0">
                <w:txbxContent>
                  <w:p w:rsidR="00866C48" w:rsidRPr="00866C48" w:rsidRDefault="005B0E95" w:rsidP="00866C48">
                    <w:pPr>
                      <w:jc w:val="center"/>
                      <w:rPr>
                        <w:b/>
                        <w:color w:val="C0504D"/>
                        <w:sz w:val="20"/>
                        <w:szCs w:val="20"/>
                      </w:rPr>
                    </w:pPr>
                    <w:r>
                      <w:rPr>
                        <w:b/>
                        <w:color w:val="C0504D"/>
                        <w:sz w:val="20"/>
                        <w:szCs w:val="20"/>
                      </w:rPr>
                      <w:t>8</w:t>
                    </w:r>
                  </w:p>
                </w:txbxContent>
              </v:textbox>
            </v:shape>
            <v:shape id="_x0000_s1276" type="#_x0000_t202" style="position:absolute;left:5627;top:3783;width:190;height:176" filled="f" stroked="f">
              <v:textbox style="mso-next-textbox:#_x0000_s1276" inset="0,0,0,0">
                <w:txbxContent>
                  <w:p w:rsidR="00866C48" w:rsidRPr="00866C48" w:rsidRDefault="00866C48" w:rsidP="00866C48">
                    <w:pPr>
                      <w:jc w:val="center"/>
                      <w:rPr>
                        <w:b/>
                        <w:color w:val="C0504D"/>
                        <w:sz w:val="20"/>
                        <w:szCs w:val="20"/>
                      </w:rPr>
                    </w:pPr>
                    <w:r>
                      <w:rPr>
                        <w:b/>
                        <w:color w:val="C0504D"/>
                        <w:sz w:val="20"/>
                        <w:szCs w:val="20"/>
                      </w:rPr>
                      <w:t>1</w:t>
                    </w:r>
                    <w:r w:rsidR="00B53B90">
                      <w:rPr>
                        <w:b/>
                        <w:color w:val="C0504D"/>
                        <w:sz w:val="20"/>
                        <w:szCs w:val="20"/>
                      </w:rPr>
                      <w:t>0</w:t>
                    </w:r>
                  </w:p>
                </w:txbxContent>
              </v:textbox>
            </v:shape>
            <v:shape id="_x0000_s1401" style="position:absolute;left:3835;top:2942;width:1429;height:143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858,1862" path="m,1862c422,1682,845,1502,1061,1383v216,-119,161,-153,234,-234c1368,1068,1403,1086,1497,895,1591,704,1724,352,1858,e" filled="f" strokeweight="1.5pt">
              <v:path arrowok="t"/>
            </v:shape>
            <w10:wrap type="none"/>
            <w10:anchorlock/>
          </v:group>
        </w:pict>
      </w:r>
    </w:p>
    <w:p w:rsidR="002932E2" w:rsidRDefault="002932E2" w:rsidP="002932E2">
      <w:pPr>
        <w:ind w:left="720"/>
        <w:jc w:val="both"/>
      </w:pPr>
    </w:p>
    <w:p w:rsidR="002932E2" w:rsidRPr="002932E2" w:rsidRDefault="002932E2" w:rsidP="002932E2">
      <w:pPr>
        <w:ind w:left="720"/>
        <w:jc w:val="both"/>
        <w:rPr>
          <w:sz w:val="28"/>
          <w:szCs w:val="28"/>
        </w:rPr>
      </w:pPr>
      <w:r w:rsidRPr="002932E2">
        <w:rPr>
          <w:i/>
          <w:sz w:val="28"/>
          <w:szCs w:val="28"/>
        </w:rPr>
        <w:t>It shows three points: where 9 is tangent to 5, where 8 is tangent to 8, and where 5 is tangent to 10.</w:t>
      </w:r>
    </w:p>
    <w:p w:rsidR="002932E2" w:rsidRDefault="002932E2" w:rsidP="002932E2">
      <w:pPr>
        <w:ind w:left="720"/>
        <w:jc w:val="both"/>
      </w:pPr>
    </w:p>
    <w:p w:rsidR="004A6275" w:rsidRDefault="001A2CB4" w:rsidP="008731DC">
      <w:pPr>
        <w:numPr>
          <w:ilvl w:val="0"/>
          <w:numId w:val="2"/>
        </w:numPr>
        <w:jc w:val="both"/>
      </w:pPr>
      <w:r>
        <w:t xml:space="preserve">Consider again question 4. Suppose Andrea Alpha is a down-and-out car thief who has trouble making ends meet and Betty Beta is a trophy wife who was born into a wealthy family. We can imagine an egalitarian claiming the best allocation would be fifty units of each good to each consumer. Locate the point or range in the </w:t>
      </w:r>
      <w:proofErr w:type="spellStart"/>
      <w:r>
        <w:t>Edgeworth</w:t>
      </w:r>
      <w:proofErr w:type="spellEnd"/>
      <w:r>
        <w:t xml:space="preserve"> the other three philosophies of fairness we discussed would consider ideal. (For utilitarianism, assume the only indifference curves of relevance are the ones with a defined utility.)</w:t>
      </w:r>
    </w:p>
    <w:p w:rsidR="001A2CB4" w:rsidRDefault="001A2CB4" w:rsidP="001A2CB4">
      <w:pPr>
        <w:ind w:left="720"/>
        <w:jc w:val="both"/>
      </w:pPr>
    </w:p>
    <w:p w:rsidR="001A2CB4" w:rsidRDefault="001A2CB4" w:rsidP="001A2CB4">
      <w:pPr>
        <w:ind w:left="720"/>
        <w:jc w:val="both"/>
        <w:rPr>
          <w:i/>
          <w:sz w:val="28"/>
          <w:szCs w:val="28"/>
        </w:rPr>
      </w:pPr>
      <w:r>
        <w:rPr>
          <w:i/>
          <w:sz w:val="28"/>
          <w:szCs w:val="28"/>
        </w:rPr>
        <w:t xml:space="preserve">Utilitarianism—for this one, we want the most total utility. There are three combinations shown: 9 and 5 (13 total); 8 and 8 (16 total); and 5 and 10 (15 total). The one that creates 16 </w:t>
      </w:r>
      <w:proofErr w:type="gramStart"/>
      <w:r>
        <w:rPr>
          <w:i/>
          <w:sz w:val="28"/>
          <w:szCs w:val="28"/>
        </w:rPr>
        <w:t>total—</w:t>
      </w:r>
      <w:proofErr w:type="gramEnd"/>
      <w:r>
        <w:rPr>
          <w:i/>
          <w:sz w:val="28"/>
          <w:szCs w:val="28"/>
        </w:rPr>
        <w:t>about 70 water to Alpha and about 40 power to Alpha—is the highest total utility shown.</w:t>
      </w:r>
    </w:p>
    <w:p w:rsidR="001A2CB4" w:rsidRDefault="001A2CB4" w:rsidP="001A2CB4">
      <w:pPr>
        <w:ind w:left="720"/>
        <w:jc w:val="both"/>
        <w:rPr>
          <w:i/>
          <w:sz w:val="28"/>
          <w:szCs w:val="28"/>
        </w:rPr>
      </w:pPr>
    </w:p>
    <w:p w:rsidR="001A2CB4" w:rsidRDefault="001A2CB4" w:rsidP="001A2CB4">
      <w:pPr>
        <w:ind w:left="720"/>
        <w:jc w:val="both"/>
        <w:rPr>
          <w:i/>
          <w:sz w:val="28"/>
          <w:szCs w:val="28"/>
        </w:rPr>
      </w:pPr>
      <w:r>
        <w:rPr>
          <w:i/>
          <w:sz w:val="28"/>
          <w:szCs w:val="28"/>
        </w:rPr>
        <w:t xml:space="preserve">Rawls—Andrea, who has trouble making ends meet and struggles to survive, is clearly this society’s poorest person (well, she’s worse off than the only other person in this two-person society). </w:t>
      </w:r>
      <w:r w:rsidR="00FB34FD">
        <w:rPr>
          <w:i/>
          <w:sz w:val="28"/>
          <w:szCs w:val="28"/>
        </w:rPr>
        <w:t>Rawls would want a larger share go to her. Note we stay on the contract curve…exactly where we land depends on degrees but, to its logical extreme, Andrea should get 100 of both goods; she should get everything in this allocation.</w:t>
      </w:r>
    </w:p>
    <w:p w:rsidR="00FB34FD" w:rsidRDefault="00FB34FD" w:rsidP="001A2CB4">
      <w:pPr>
        <w:ind w:left="720"/>
        <w:jc w:val="both"/>
        <w:rPr>
          <w:i/>
          <w:sz w:val="28"/>
          <w:szCs w:val="28"/>
        </w:rPr>
      </w:pPr>
    </w:p>
    <w:p w:rsidR="00FB34FD" w:rsidRPr="001A2CB4" w:rsidRDefault="00FB34FD" w:rsidP="001A2CB4">
      <w:pPr>
        <w:ind w:left="720"/>
        <w:jc w:val="both"/>
        <w:rPr>
          <w:i/>
          <w:sz w:val="28"/>
          <w:szCs w:val="28"/>
        </w:rPr>
      </w:pPr>
      <w:proofErr w:type="spellStart"/>
      <w:r>
        <w:rPr>
          <w:i/>
          <w:sz w:val="28"/>
          <w:szCs w:val="28"/>
        </w:rPr>
        <w:t>Nozick</w:t>
      </w:r>
      <w:proofErr w:type="spellEnd"/>
      <w:r>
        <w:rPr>
          <w:i/>
          <w:sz w:val="28"/>
          <w:szCs w:val="28"/>
        </w:rPr>
        <w:t>—</w:t>
      </w:r>
      <w:proofErr w:type="gramStart"/>
      <w:r>
        <w:rPr>
          <w:i/>
          <w:sz w:val="28"/>
          <w:szCs w:val="28"/>
        </w:rPr>
        <w:t>In</w:t>
      </w:r>
      <w:proofErr w:type="gramEnd"/>
      <w:r>
        <w:rPr>
          <w:i/>
          <w:sz w:val="28"/>
          <w:szCs w:val="28"/>
        </w:rPr>
        <w:t xml:space="preserve"> this scenario, the opposite allocation occurs. Most, if not all, of the good should go to Betty. Yes, she may not have a useful job but it’s not</w:t>
      </w:r>
      <w:r w:rsidR="000E7620">
        <w:rPr>
          <w:i/>
          <w:sz w:val="28"/>
          <w:szCs w:val="28"/>
        </w:rPr>
        <w:t xml:space="preserve"> a destructive or dishonest job:</w:t>
      </w:r>
      <w:r>
        <w:rPr>
          <w:i/>
          <w:sz w:val="28"/>
          <w:szCs w:val="28"/>
        </w:rPr>
        <w:t xml:space="preserve"> </w:t>
      </w:r>
      <w:r w:rsidR="000E7620">
        <w:rPr>
          <w:i/>
          <w:sz w:val="28"/>
          <w:szCs w:val="28"/>
        </w:rPr>
        <w:t>i</w:t>
      </w:r>
      <w:r>
        <w:rPr>
          <w:i/>
          <w:sz w:val="28"/>
          <w:szCs w:val="28"/>
        </w:rPr>
        <w:t>t doesn’t violate people’s private property or deceive them from making mutually beneficial gains from trade.</w:t>
      </w:r>
    </w:p>
    <w:p w:rsidR="00866C48" w:rsidRDefault="00866C48" w:rsidP="00B53B90">
      <w:pPr>
        <w:jc w:val="center"/>
      </w:pPr>
    </w:p>
    <w:p w:rsidR="008731DC" w:rsidRDefault="008731DC" w:rsidP="008731DC">
      <w:pPr>
        <w:ind w:left="720"/>
        <w:jc w:val="both"/>
      </w:pPr>
    </w:p>
    <w:sectPr w:rsidR="008731DC" w:rsidSect="000761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F3E" w:rsidRDefault="00123F3E" w:rsidP="00123F3E">
      <w:r>
        <w:separator/>
      </w:r>
    </w:p>
  </w:endnote>
  <w:endnote w:type="continuationSeparator" w:id="0">
    <w:p w:rsidR="00123F3E" w:rsidRDefault="00123F3E" w:rsidP="0012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3E" w:rsidRDefault="00123F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3E" w:rsidRDefault="00123F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3E" w:rsidRDefault="00123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F3E" w:rsidRDefault="00123F3E" w:rsidP="00123F3E">
      <w:r>
        <w:separator/>
      </w:r>
    </w:p>
  </w:footnote>
  <w:footnote w:type="continuationSeparator" w:id="0">
    <w:p w:rsidR="00123F3E" w:rsidRDefault="00123F3E" w:rsidP="00123F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3E" w:rsidRDefault="003833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733063"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3E" w:rsidRDefault="003833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733064"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F3E" w:rsidRDefault="003833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733062"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rsids>
    <w:rsidRoot w:val="0030283D"/>
    <w:rsid w:val="00003314"/>
    <w:rsid w:val="00004442"/>
    <w:rsid w:val="00024B2D"/>
    <w:rsid w:val="000344B2"/>
    <w:rsid w:val="000449AD"/>
    <w:rsid w:val="00045577"/>
    <w:rsid w:val="00066F22"/>
    <w:rsid w:val="00072879"/>
    <w:rsid w:val="00076109"/>
    <w:rsid w:val="000908C4"/>
    <w:rsid w:val="00090B03"/>
    <w:rsid w:val="00097F10"/>
    <w:rsid w:val="000A0DA1"/>
    <w:rsid w:val="000A5FE3"/>
    <w:rsid w:val="000E7620"/>
    <w:rsid w:val="000F1122"/>
    <w:rsid w:val="00105FA6"/>
    <w:rsid w:val="00123F3E"/>
    <w:rsid w:val="00127A36"/>
    <w:rsid w:val="00140869"/>
    <w:rsid w:val="00154B51"/>
    <w:rsid w:val="001A2CB4"/>
    <w:rsid w:val="001D3027"/>
    <w:rsid w:val="00201F44"/>
    <w:rsid w:val="002662EF"/>
    <w:rsid w:val="0027683B"/>
    <w:rsid w:val="002932E2"/>
    <w:rsid w:val="00295DED"/>
    <w:rsid w:val="002976A7"/>
    <w:rsid w:val="002A180B"/>
    <w:rsid w:val="002B216A"/>
    <w:rsid w:val="0030283D"/>
    <w:rsid w:val="0034597D"/>
    <w:rsid w:val="003833C7"/>
    <w:rsid w:val="003A54A0"/>
    <w:rsid w:val="0042138B"/>
    <w:rsid w:val="004423C8"/>
    <w:rsid w:val="00461662"/>
    <w:rsid w:val="0048424D"/>
    <w:rsid w:val="004A6275"/>
    <w:rsid w:val="004B138A"/>
    <w:rsid w:val="005064BD"/>
    <w:rsid w:val="00557DB3"/>
    <w:rsid w:val="00571A96"/>
    <w:rsid w:val="005848F1"/>
    <w:rsid w:val="00594C40"/>
    <w:rsid w:val="005B0E95"/>
    <w:rsid w:val="005D398E"/>
    <w:rsid w:val="00622D72"/>
    <w:rsid w:val="00632558"/>
    <w:rsid w:val="006A096C"/>
    <w:rsid w:val="006B76A3"/>
    <w:rsid w:val="006E42F9"/>
    <w:rsid w:val="00706396"/>
    <w:rsid w:val="00784F96"/>
    <w:rsid w:val="00794182"/>
    <w:rsid w:val="007A336D"/>
    <w:rsid w:val="00810D91"/>
    <w:rsid w:val="008351CE"/>
    <w:rsid w:val="00837477"/>
    <w:rsid w:val="0084564D"/>
    <w:rsid w:val="00845B9C"/>
    <w:rsid w:val="008544EF"/>
    <w:rsid w:val="00857802"/>
    <w:rsid w:val="00866C48"/>
    <w:rsid w:val="0087178D"/>
    <w:rsid w:val="008731DC"/>
    <w:rsid w:val="0087453F"/>
    <w:rsid w:val="00877330"/>
    <w:rsid w:val="00893B4F"/>
    <w:rsid w:val="008B7FDC"/>
    <w:rsid w:val="008C5BC5"/>
    <w:rsid w:val="008E21B6"/>
    <w:rsid w:val="00902634"/>
    <w:rsid w:val="00940B1D"/>
    <w:rsid w:val="00956D18"/>
    <w:rsid w:val="009739BA"/>
    <w:rsid w:val="00973F09"/>
    <w:rsid w:val="00975EF9"/>
    <w:rsid w:val="00986586"/>
    <w:rsid w:val="00993F08"/>
    <w:rsid w:val="009A6192"/>
    <w:rsid w:val="009B4AA3"/>
    <w:rsid w:val="009C0130"/>
    <w:rsid w:val="009C3D81"/>
    <w:rsid w:val="009C5291"/>
    <w:rsid w:val="009E16C3"/>
    <w:rsid w:val="00A13B99"/>
    <w:rsid w:val="00A472D3"/>
    <w:rsid w:val="00A56184"/>
    <w:rsid w:val="00A61A01"/>
    <w:rsid w:val="00A92D43"/>
    <w:rsid w:val="00AA0843"/>
    <w:rsid w:val="00AA0A71"/>
    <w:rsid w:val="00AC6B88"/>
    <w:rsid w:val="00AD69E0"/>
    <w:rsid w:val="00AE0B32"/>
    <w:rsid w:val="00AF5FE7"/>
    <w:rsid w:val="00B340C0"/>
    <w:rsid w:val="00B34521"/>
    <w:rsid w:val="00B4645E"/>
    <w:rsid w:val="00B53B90"/>
    <w:rsid w:val="00B56327"/>
    <w:rsid w:val="00B65020"/>
    <w:rsid w:val="00B856AD"/>
    <w:rsid w:val="00B863FF"/>
    <w:rsid w:val="00BB10E1"/>
    <w:rsid w:val="00BB6788"/>
    <w:rsid w:val="00C16949"/>
    <w:rsid w:val="00C27FEB"/>
    <w:rsid w:val="00C313DE"/>
    <w:rsid w:val="00C41C60"/>
    <w:rsid w:val="00C70457"/>
    <w:rsid w:val="00C831FD"/>
    <w:rsid w:val="00C9108E"/>
    <w:rsid w:val="00C9668C"/>
    <w:rsid w:val="00CF3C86"/>
    <w:rsid w:val="00D10153"/>
    <w:rsid w:val="00D316A7"/>
    <w:rsid w:val="00D327CA"/>
    <w:rsid w:val="00D50503"/>
    <w:rsid w:val="00D776C0"/>
    <w:rsid w:val="00D933F6"/>
    <w:rsid w:val="00DB4504"/>
    <w:rsid w:val="00DE19A2"/>
    <w:rsid w:val="00DF600F"/>
    <w:rsid w:val="00E0693A"/>
    <w:rsid w:val="00E213FD"/>
    <w:rsid w:val="00E260AD"/>
    <w:rsid w:val="00E47757"/>
    <w:rsid w:val="00E57699"/>
    <w:rsid w:val="00E65418"/>
    <w:rsid w:val="00E74F93"/>
    <w:rsid w:val="00E914C9"/>
    <w:rsid w:val="00E91C6B"/>
    <w:rsid w:val="00EE2532"/>
    <w:rsid w:val="00F311B7"/>
    <w:rsid w:val="00F46FCB"/>
    <w:rsid w:val="00F8556E"/>
    <w:rsid w:val="00F95A1F"/>
    <w:rsid w:val="00FB34FD"/>
    <w:rsid w:val="00FC4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rules v:ext="edit">
        <o:r id="V:Rule41" type="connector" idref="#_x0000_s1105"/>
        <o:r id="V:Rule42" type="connector" idref="#_x0000_s1127"/>
        <o:r id="V:Rule43" type="connector" idref="#_x0000_s1131"/>
        <o:r id="V:Rule44" type="connector" idref="#_x0000_s1089"/>
        <o:r id="V:Rule45" type="connector" idref="#_x0000_s1084"/>
        <o:r id="V:Rule46" type="connector" idref="#_x0000_s1136"/>
        <o:r id="V:Rule47" type="connector" idref="#_x0000_s1130"/>
        <o:r id="V:Rule48" type="connector" idref="#_x0000_s1091"/>
        <o:r id="V:Rule49" type="connector" idref="#_x0000_s1100"/>
        <o:r id="V:Rule50" type="connector" idref="#_x0000_s1134"/>
        <o:r id="V:Rule51" type="connector" idref="#_x0000_s1099"/>
        <o:r id="V:Rule52" type="connector" idref="#_x0000_s1096"/>
        <o:r id="V:Rule53" type="connector" idref="#_x0000_s1122"/>
        <o:r id="V:Rule54" type="connector" idref="#_x0000_s1126"/>
        <o:r id="V:Rule55" type="connector" idref="#_x0000_s1088"/>
        <o:r id="V:Rule56" type="connector" idref="#_x0000_s1103"/>
        <o:r id="V:Rule57" type="connector" idref="#_x0000_s1119"/>
        <o:r id="V:Rule58" type="connector" idref="#_x0000_s1095"/>
        <o:r id="V:Rule59" type="connector" idref="#_x0000_s1125"/>
        <o:r id="V:Rule60" type="connector" idref="#_x0000_s1104"/>
        <o:r id="V:Rule61" type="connector" idref="#_x0000_s1137"/>
        <o:r id="V:Rule62" type="connector" idref="#_x0000_s1094"/>
        <o:r id="V:Rule63" type="connector" idref="#_x0000_s1138"/>
        <o:r id="V:Rule64" type="connector" idref="#_x0000_s1121"/>
        <o:r id="V:Rule65" type="connector" idref="#_x0000_s1098"/>
        <o:r id="V:Rule66" type="connector" idref="#_x0000_s1102"/>
        <o:r id="V:Rule67" type="connector" idref="#_x0000_s1092"/>
        <o:r id="V:Rule68" type="connector" idref="#_x0000_s1132"/>
        <o:r id="V:Rule69" type="connector" idref="#_x0000_s1101"/>
        <o:r id="V:Rule70" type="connector" idref="#_x0000_s1093"/>
        <o:r id="V:Rule71" type="connector" idref="#_x0000_s1124"/>
        <o:r id="V:Rule72" type="connector" idref="#_x0000_s1097"/>
        <o:r id="V:Rule73" type="connector" idref="#_x0000_s1123"/>
        <o:r id="V:Rule74" type="connector" idref="#_x0000_s1090"/>
        <o:r id="V:Rule75" type="connector" idref="#_x0000_s1085"/>
        <o:r id="V:Rule76" type="connector" idref="#_x0000_s1135"/>
        <o:r id="V:Rule77" type="connector" idref="#_x0000_s1128"/>
        <o:r id="V:Rule78" type="connector" idref="#_x0000_s1129"/>
        <o:r id="V:Rule79" type="connector" idref="#_x0000_s1120"/>
        <o:r id="V:Rule80"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paragraph" w:styleId="Header">
    <w:name w:val="header"/>
    <w:basedOn w:val="Normal"/>
    <w:link w:val="HeaderChar"/>
    <w:rsid w:val="00123F3E"/>
    <w:pPr>
      <w:tabs>
        <w:tab w:val="center" w:pos="4680"/>
        <w:tab w:val="right" w:pos="9360"/>
      </w:tabs>
    </w:pPr>
  </w:style>
  <w:style w:type="character" w:customStyle="1" w:styleId="HeaderChar">
    <w:name w:val="Header Char"/>
    <w:basedOn w:val="DefaultParagraphFont"/>
    <w:link w:val="Header"/>
    <w:rsid w:val="00123F3E"/>
    <w:rPr>
      <w:sz w:val="24"/>
      <w:szCs w:val="24"/>
    </w:rPr>
  </w:style>
  <w:style w:type="paragraph" w:styleId="Footer">
    <w:name w:val="footer"/>
    <w:basedOn w:val="Normal"/>
    <w:link w:val="FooterChar"/>
    <w:rsid w:val="00123F3E"/>
    <w:pPr>
      <w:tabs>
        <w:tab w:val="center" w:pos="4680"/>
        <w:tab w:val="right" w:pos="9360"/>
      </w:tabs>
    </w:pPr>
  </w:style>
  <w:style w:type="character" w:customStyle="1" w:styleId="FooterChar">
    <w:name w:val="Footer Char"/>
    <w:basedOn w:val="DefaultParagraphFont"/>
    <w:link w:val="Footer"/>
    <w:rsid w:val="00123F3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CB2C4-4CDC-424B-839F-A54D15A9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724</Words>
  <Characters>3337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6</cp:revision>
  <dcterms:created xsi:type="dcterms:W3CDTF">2012-12-23T05:48:00Z</dcterms:created>
  <dcterms:modified xsi:type="dcterms:W3CDTF">2013-02-08T16:02:00Z</dcterms:modified>
</cp:coreProperties>
</file>