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FE531D">
        <w:rPr>
          <w:b/>
          <w:smallCaps/>
          <w:sz w:val="32"/>
          <w:szCs w:val="32"/>
        </w:rPr>
        <w:t>1</w:t>
      </w:r>
      <w:r w:rsidR="00C43178">
        <w:rPr>
          <w:b/>
          <w:smallCaps/>
          <w:sz w:val="32"/>
          <w:szCs w:val="32"/>
        </w:rPr>
        <w:t>3</w:t>
      </w:r>
      <w:r w:rsidR="00B416CC">
        <w:rPr>
          <w:b/>
          <w:smallCaps/>
          <w:sz w:val="32"/>
          <w:szCs w:val="32"/>
        </w:rPr>
        <w:t xml:space="preserve">: </w:t>
      </w:r>
      <w:r w:rsidR="00D45536">
        <w:rPr>
          <w:b/>
          <w:smallCaps/>
          <w:sz w:val="32"/>
          <w:szCs w:val="32"/>
        </w:rPr>
        <w:t>Game Theory and the Law</w:t>
      </w:r>
    </w:p>
    <w:p w:rsidR="00B64976" w:rsidRDefault="00B64976" w:rsidP="00E26695">
      <w:pPr>
        <w:jc w:val="center"/>
      </w:pPr>
    </w:p>
    <w:p w:rsidR="008C373C" w:rsidRDefault="00D654DF" w:rsidP="008C373C">
      <w:pPr>
        <w:numPr>
          <w:ilvl w:val="0"/>
          <w:numId w:val="10"/>
        </w:numPr>
        <w:jc w:val="both"/>
        <w:rPr>
          <w:sz w:val="28"/>
          <w:szCs w:val="28"/>
        </w:rPr>
      </w:pPr>
      <w:r>
        <w:rPr>
          <w:sz w:val="28"/>
          <w:szCs w:val="28"/>
        </w:rPr>
        <w:t>Liability</w:t>
      </w:r>
    </w:p>
    <w:p w:rsidR="00D45536" w:rsidRDefault="00D654DF" w:rsidP="00D45536">
      <w:pPr>
        <w:numPr>
          <w:ilvl w:val="1"/>
          <w:numId w:val="10"/>
        </w:numPr>
        <w:jc w:val="both"/>
        <w:rPr>
          <w:sz w:val="28"/>
          <w:szCs w:val="28"/>
        </w:rPr>
      </w:pPr>
      <w:r w:rsidRPr="00D654DF">
        <w:rPr>
          <w:i/>
          <w:sz w:val="28"/>
          <w:szCs w:val="28"/>
        </w:rPr>
        <w:t>Liability</w:t>
      </w:r>
      <w:r>
        <w:rPr>
          <w:sz w:val="28"/>
          <w:szCs w:val="28"/>
        </w:rPr>
        <w:t xml:space="preserve"> is a bound obligation to pay a debt. When a probl</w:t>
      </w:r>
      <w:r w:rsidR="00194B61">
        <w:rPr>
          <w:sz w:val="28"/>
          <w:szCs w:val="28"/>
        </w:rPr>
        <w:t>em happens, like a motorist hitting</w:t>
      </w:r>
      <w:r>
        <w:rPr>
          <w:sz w:val="28"/>
          <w:szCs w:val="28"/>
        </w:rPr>
        <w:t xml:space="preserve"> a pedestrian with his car, </w:t>
      </w:r>
      <w:r w:rsidR="00194B61">
        <w:rPr>
          <w:sz w:val="28"/>
          <w:szCs w:val="28"/>
        </w:rPr>
        <w:t>the question is who suffers the cost of that problem. Who is held liable?</w:t>
      </w:r>
    </w:p>
    <w:p w:rsidR="00194B61" w:rsidRDefault="00194B61" w:rsidP="00D45536">
      <w:pPr>
        <w:numPr>
          <w:ilvl w:val="1"/>
          <w:numId w:val="10"/>
        </w:numPr>
        <w:jc w:val="both"/>
        <w:rPr>
          <w:sz w:val="28"/>
          <w:szCs w:val="28"/>
        </w:rPr>
      </w:pPr>
      <w:r>
        <w:rPr>
          <w:sz w:val="28"/>
          <w:szCs w:val="28"/>
        </w:rPr>
        <w:t xml:space="preserve">In most legal regimes, the related question is who took </w:t>
      </w:r>
      <w:r>
        <w:rPr>
          <w:i/>
          <w:sz w:val="28"/>
          <w:szCs w:val="28"/>
        </w:rPr>
        <w:t>due care</w:t>
      </w:r>
      <w:r>
        <w:rPr>
          <w:sz w:val="28"/>
          <w:szCs w:val="28"/>
        </w:rPr>
        <w:t>, or the amount of care that is socially optimal.</w:t>
      </w:r>
    </w:p>
    <w:p w:rsidR="00194B61" w:rsidRDefault="00194B61" w:rsidP="00194B61">
      <w:pPr>
        <w:numPr>
          <w:ilvl w:val="2"/>
          <w:numId w:val="10"/>
        </w:numPr>
        <w:jc w:val="both"/>
        <w:rPr>
          <w:sz w:val="28"/>
          <w:szCs w:val="28"/>
        </w:rPr>
      </w:pPr>
      <w:r>
        <w:rPr>
          <w:sz w:val="28"/>
          <w:szCs w:val="28"/>
        </w:rPr>
        <w:t xml:space="preserve">Below is a game of no liability: if the pedestrian gets hit then the pedestrian </w:t>
      </w:r>
      <w:r w:rsidRPr="00194B61">
        <w:rPr>
          <w:b/>
          <w:i/>
          <w:sz w:val="28"/>
          <w:szCs w:val="28"/>
        </w:rPr>
        <w:t>always</w:t>
      </w:r>
      <w:r>
        <w:rPr>
          <w:sz w:val="28"/>
          <w:szCs w:val="28"/>
        </w:rPr>
        <w:t xml:space="preserve"> suffers the cost.</w:t>
      </w:r>
      <w:r w:rsidR="000F5E8C">
        <w:rPr>
          <w:sz w:val="28"/>
          <w:szCs w:val="28"/>
        </w:rPr>
        <w:t xml:space="preserve"> (We assume there’s a 10% of accident if both take due care.)</w:t>
      </w:r>
    </w:p>
    <w:p w:rsidR="00194B61" w:rsidRDefault="00194B61" w:rsidP="00194B61">
      <w:pPr>
        <w:ind w:left="1440"/>
        <w:jc w:val="both"/>
        <w:rPr>
          <w:sz w:val="28"/>
          <w:szCs w:val="28"/>
        </w:rPr>
      </w:pPr>
    </w:p>
    <w:tbl>
      <w:tblPr>
        <w:tblW w:w="0" w:type="auto"/>
        <w:jc w:val="center"/>
        <w:tblInd w:w="619" w:type="dxa"/>
        <w:tblBorders>
          <w:insideH w:val="single" w:sz="4" w:space="0" w:color="auto"/>
          <w:insideV w:val="single" w:sz="4" w:space="0" w:color="auto"/>
        </w:tblBorders>
        <w:tblLook w:val="04A0"/>
      </w:tblPr>
      <w:tblGrid>
        <w:gridCol w:w="1181"/>
        <w:gridCol w:w="1316"/>
        <w:gridCol w:w="1313"/>
        <w:gridCol w:w="1260"/>
      </w:tblGrid>
      <w:tr w:rsidR="00194B61" w:rsidRPr="006A09EA" w:rsidTr="00854733">
        <w:trPr>
          <w:jc w:val="center"/>
        </w:trPr>
        <w:tc>
          <w:tcPr>
            <w:tcW w:w="2497" w:type="dxa"/>
            <w:gridSpan w:val="2"/>
            <w:vMerge w:val="restart"/>
            <w:vAlign w:val="center"/>
          </w:tcPr>
          <w:p w:rsidR="00194B61" w:rsidRPr="006A09EA" w:rsidRDefault="00194B61" w:rsidP="00854733">
            <w:pPr>
              <w:jc w:val="center"/>
              <w:rPr>
                <w:sz w:val="28"/>
                <w:szCs w:val="28"/>
              </w:rPr>
            </w:pPr>
          </w:p>
        </w:tc>
        <w:tc>
          <w:tcPr>
            <w:tcW w:w="2573" w:type="dxa"/>
            <w:gridSpan w:val="2"/>
          </w:tcPr>
          <w:p w:rsidR="00194B61" w:rsidRPr="00194B61" w:rsidRDefault="00194B61" w:rsidP="0092336A">
            <w:pPr>
              <w:jc w:val="center"/>
              <w:rPr>
                <w:i/>
                <w:sz w:val="28"/>
                <w:szCs w:val="28"/>
              </w:rPr>
            </w:pPr>
            <w:r w:rsidRPr="00194B61">
              <w:rPr>
                <w:i/>
                <w:sz w:val="28"/>
                <w:szCs w:val="28"/>
              </w:rPr>
              <w:t>Pedestrian</w:t>
            </w:r>
          </w:p>
        </w:tc>
      </w:tr>
      <w:tr w:rsidR="00194B61" w:rsidRPr="006A09EA" w:rsidTr="00194B61">
        <w:trPr>
          <w:jc w:val="center"/>
        </w:trPr>
        <w:tc>
          <w:tcPr>
            <w:tcW w:w="2497" w:type="dxa"/>
            <w:gridSpan w:val="2"/>
            <w:vMerge/>
          </w:tcPr>
          <w:p w:rsidR="00194B61" w:rsidRPr="006A09EA" w:rsidRDefault="00194B61" w:rsidP="0092336A">
            <w:pPr>
              <w:jc w:val="center"/>
              <w:rPr>
                <w:sz w:val="28"/>
                <w:szCs w:val="28"/>
              </w:rPr>
            </w:pPr>
          </w:p>
        </w:tc>
        <w:tc>
          <w:tcPr>
            <w:tcW w:w="1313" w:type="dxa"/>
          </w:tcPr>
          <w:p w:rsidR="00194B61" w:rsidRPr="006A09EA" w:rsidRDefault="00194B61" w:rsidP="0092336A">
            <w:pPr>
              <w:jc w:val="center"/>
              <w:rPr>
                <w:sz w:val="28"/>
                <w:szCs w:val="28"/>
              </w:rPr>
            </w:pPr>
            <w:r>
              <w:rPr>
                <w:sz w:val="28"/>
                <w:szCs w:val="28"/>
              </w:rPr>
              <w:t>Due Care</w:t>
            </w:r>
          </w:p>
        </w:tc>
        <w:tc>
          <w:tcPr>
            <w:tcW w:w="1260" w:type="dxa"/>
          </w:tcPr>
          <w:p w:rsidR="00194B61" w:rsidRPr="006A09EA" w:rsidRDefault="00194B61" w:rsidP="00194B61">
            <w:pPr>
              <w:jc w:val="center"/>
              <w:rPr>
                <w:sz w:val="28"/>
                <w:szCs w:val="28"/>
              </w:rPr>
            </w:pPr>
            <w:r>
              <w:rPr>
                <w:sz w:val="28"/>
                <w:szCs w:val="28"/>
              </w:rPr>
              <w:t>No Care</w:t>
            </w:r>
          </w:p>
        </w:tc>
      </w:tr>
      <w:tr w:rsidR="00194B61" w:rsidRPr="006A09EA" w:rsidTr="00194B61">
        <w:trPr>
          <w:jc w:val="center"/>
        </w:trPr>
        <w:tc>
          <w:tcPr>
            <w:tcW w:w="1181" w:type="dxa"/>
            <w:vMerge w:val="restart"/>
            <w:vAlign w:val="center"/>
          </w:tcPr>
          <w:p w:rsidR="00194B61" w:rsidRPr="00194B61" w:rsidRDefault="00194B61" w:rsidP="0092336A">
            <w:pPr>
              <w:jc w:val="center"/>
              <w:rPr>
                <w:i/>
                <w:sz w:val="28"/>
                <w:szCs w:val="28"/>
              </w:rPr>
            </w:pPr>
            <w:r w:rsidRPr="00194B61">
              <w:rPr>
                <w:i/>
                <w:sz w:val="28"/>
                <w:szCs w:val="28"/>
              </w:rPr>
              <w:t>Motorist</w:t>
            </w:r>
          </w:p>
        </w:tc>
        <w:tc>
          <w:tcPr>
            <w:tcW w:w="1316" w:type="dxa"/>
          </w:tcPr>
          <w:p w:rsidR="00194B61" w:rsidRPr="006A09EA" w:rsidRDefault="00194B61" w:rsidP="0092336A">
            <w:pPr>
              <w:jc w:val="right"/>
              <w:rPr>
                <w:sz w:val="28"/>
                <w:szCs w:val="28"/>
              </w:rPr>
            </w:pPr>
            <w:r>
              <w:rPr>
                <w:sz w:val="28"/>
                <w:szCs w:val="28"/>
              </w:rPr>
              <w:t>Due Care</w:t>
            </w:r>
          </w:p>
        </w:tc>
        <w:tc>
          <w:tcPr>
            <w:tcW w:w="1313" w:type="dxa"/>
          </w:tcPr>
          <w:p w:rsidR="00194B61" w:rsidRPr="006A09EA" w:rsidRDefault="00194B61" w:rsidP="0092336A">
            <w:pPr>
              <w:jc w:val="center"/>
              <w:rPr>
                <w:sz w:val="28"/>
                <w:szCs w:val="28"/>
              </w:rPr>
            </w:pPr>
            <w:r>
              <w:rPr>
                <w:sz w:val="28"/>
                <w:szCs w:val="28"/>
              </w:rPr>
              <w:t>-10,-20</w:t>
            </w:r>
          </w:p>
        </w:tc>
        <w:tc>
          <w:tcPr>
            <w:tcW w:w="1260" w:type="dxa"/>
          </w:tcPr>
          <w:p w:rsidR="00194B61" w:rsidRPr="006A09EA" w:rsidRDefault="00194B61" w:rsidP="0092336A">
            <w:pPr>
              <w:jc w:val="center"/>
              <w:rPr>
                <w:sz w:val="28"/>
                <w:szCs w:val="28"/>
              </w:rPr>
            </w:pPr>
            <w:r>
              <w:rPr>
                <w:sz w:val="28"/>
                <w:szCs w:val="28"/>
              </w:rPr>
              <w:t>-10,-100</w:t>
            </w:r>
          </w:p>
        </w:tc>
      </w:tr>
      <w:tr w:rsidR="00194B61" w:rsidRPr="006A09EA" w:rsidTr="00194B61">
        <w:trPr>
          <w:jc w:val="center"/>
        </w:trPr>
        <w:tc>
          <w:tcPr>
            <w:tcW w:w="1181" w:type="dxa"/>
            <w:vMerge/>
          </w:tcPr>
          <w:p w:rsidR="00194B61" w:rsidRPr="006A09EA" w:rsidRDefault="00194B61" w:rsidP="0092336A">
            <w:pPr>
              <w:jc w:val="center"/>
              <w:rPr>
                <w:sz w:val="28"/>
                <w:szCs w:val="28"/>
              </w:rPr>
            </w:pPr>
          </w:p>
        </w:tc>
        <w:tc>
          <w:tcPr>
            <w:tcW w:w="1316" w:type="dxa"/>
          </w:tcPr>
          <w:p w:rsidR="00194B61" w:rsidRPr="006A09EA" w:rsidRDefault="00194B61" w:rsidP="00194B61">
            <w:pPr>
              <w:jc w:val="right"/>
              <w:rPr>
                <w:sz w:val="28"/>
                <w:szCs w:val="28"/>
              </w:rPr>
            </w:pPr>
            <w:r>
              <w:rPr>
                <w:sz w:val="28"/>
                <w:szCs w:val="28"/>
              </w:rPr>
              <w:t>No Care</w:t>
            </w:r>
          </w:p>
        </w:tc>
        <w:tc>
          <w:tcPr>
            <w:tcW w:w="1313" w:type="dxa"/>
          </w:tcPr>
          <w:p w:rsidR="00194B61" w:rsidRPr="006A09EA" w:rsidRDefault="00194B61" w:rsidP="0092336A">
            <w:pPr>
              <w:jc w:val="center"/>
              <w:rPr>
                <w:sz w:val="28"/>
                <w:szCs w:val="28"/>
              </w:rPr>
            </w:pPr>
            <w:r>
              <w:rPr>
                <w:sz w:val="28"/>
                <w:szCs w:val="28"/>
              </w:rPr>
              <w:t>0,-110</w:t>
            </w:r>
          </w:p>
        </w:tc>
        <w:tc>
          <w:tcPr>
            <w:tcW w:w="1260" w:type="dxa"/>
          </w:tcPr>
          <w:p w:rsidR="00194B61" w:rsidRPr="006A09EA" w:rsidRDefault="00194B61" w:rsidP="0092336A">
            <w:pPr>
              <w:jc w:val="center"/>
              <w:rPr>
                <w:sz w:val="28"/>
                <w:szCs w:val="28"/>
              </w:rPr>
            </w:pPr>
            <w:r>
              <w:rPr>
                <w:sz w:val="28"/>
                <w:szCs w:val="28"/>
              </w:rPr>
              <w:t>0,-100</w:t>
            </w:r>
          </w:p>
        </w:tc>
      </w:tr>
    </w:tbl>
    <w:p w:rsidR="00194B61" w:rsidRDefault="00194B61" w:rsidP="00194B61">
      <w:pPr>
        <w:ind w:left="2160"/>
        <w:jc w:val="both"/>
        <w:rPr>
          <w:sz w:val="28"/>
          <w:szCs w:val="28"/>
        </w:rPr>
      </w:pPr>
    </w:p>
    <w:p w:rsidR="00194B61" w:rsidRDefault="00194B61" w:rsidP="00194B61">
      <w:pPr>
        <w:numPr>
          <w:ilvl w:val="2"/>
          <w:numId w:val="10"/>
        </w:numPr>
        <w:jc w:val="both"/>
        <w:rPr>
          <w:sz w:val="28"/>
          <w:szCs w:val="28"/>
        </w:rPr>
      </w:pPr>
      <w:r>
        <w:rPr>
          <w:sz w:val="28"/>
          <w:szCs w:val="28"/>
        </w:rPr>
        <w:t>What’s the Motorist’s dominant strategy? Where’s NE?</w:t>
      </w:r>
    </w:p>
    <w:p w:rsidR="00194B61" w:rsidRDefault="00194B61" w:rsidP="00194B61">
      <w:pPr>
        <w:numPr>
          <w:ilvl w:val="1"/>
          <w:numId w:val="10"/>
        </w:numPr>
        <w:jc w:val="both"/>
        <w:rPr>
          <w:sz w:val="28"/>
          <w:szCs w:val="28"/>
        </w:rPr>
      </w:pPr>
      <w:r>
        <w:rPr>
          <w:sz w:val="28"/>
          <w:szCs w:val="28"/>
        </w:rPr>
        <w:t xml:space="preserve">Legal scholars have long recognized we should incentivize motorists to be careful so we have an alternative: strict liability. If the pedestrian then the pedestrian </w:t>
      </w:r>
      <w:r>
        <w:rPr>
          <w:b/>
          <w:i/>
          <w:sz w:val="28"/>
          <w:szCs w:val="28"/>
        </w:rPr>
        <w:t>never</w:t>
      </w:r>
      <w:r>
        <w:rPr>
          <w:sz w:val="28"/>
          <w:szCs w:val="28"/>
        </w:rPr>
        <w:t xml:space="preserve"> suffers the cost.</w:t>
      </w:r>
    </w:p>
    <w:p w:rsidR="00194B61" w:rsidRDefault="00194B61" w:rsidP="00194B61">
      <w:pPr>
        <w:ind w:left="1440"/>
        <w:jc w:val="both"/>
        <w:rPr>
          <w:sz w:val="28"/>
          <w:szCs w:val="28"/>
        </w:rPr>
      </w:pPr>
    </w:p>
    <w:tbl>
      <w:tblPr>
        <w:tblW w:w="0" w:type="auto"/>
        <w:jc w:val="center"/>
        <w:tblInd w:w="619" w:type="dxa"/>
        <w:tblBorders>
          <w:insideH w:val="single" w:sz="4" w:space="0" w:color="auto"/>
          <w:insideV w:val="single" w:sz="4" w:space="0" w:color="auto"/>
        </w:tblBorders>
        <w:tblLook w:val="04A0"/>
      </w:tblPr>
      <w:tblGrid>
        <w:gridCol w:w="1181"/>
        <w:gridCol w:w="1316"/>
        <w:gridCol w:w="1313"/>
        <w:gridCol w:w="1260"/>
      </w:tblGrid>
      <w:tr w:rsidR="00194B61" w:rsidRPr="006A09EA" w:rsidTr="00854733">
        <w:trPr>
          <w:jc w:val="center"/>
        </w:trPr>
        <w:tc>
          <w:tcPr>
            <w:tcW w:w="2497" w:type="dxa"/>
            <w:gridSpan w:val="2"/>
            <w:vMerge w:val="restart"/>
            <w:vAlign w:val="center"/>
          </w:tcPr>
          <w:p w:rsidR="00194B61" w:rsidRPr="006A09EA" w:rsidRDefault="00194B61" w:rsidP="00854733">
            <w:pPr>
              <w:jc w:val="center"/>
              <w:rPr>
                <w:sz w:val="28"/>
                <w:szCs w:val="28"/>
              </w:rPr>
            </w:pPr>
          </w:p>
        </w:tc>
        <w:tc>
          <w:tcPr>
            <w:tcW w:w="2573" w:type="dxa"/>
            <w:gridSpan w:val="2"/>
          </w:tcPr>
          <w:p w:rsidR="00194B61" w:rsidRPr="00194B61" w:rsidRDefault="00194B61" w:rsidP="0092336A">
            <w:pPr>
              <w:jc w:val="center"/>
              <w:rPr>
                <w:i/>
                <w:sz w:val="28"/>
                <w:szCs w:val="28"/>
              </w:rPr>
            </w:pPr>
            <w:r w:rsidRPr="00194B61">
              <w:rPr>
                <w:i/>
                <w:sz w:val="28"/>
                <w:szCs w:val="28"/>
              </w:rPr>
              <w:t>Pedestrian</w:t>
            </w:r>
          </w:p>
        </w:tc>
      </w:tr>
      <w:tr w:rsidR="00194B61" w:rsidRPr="006A09EA" w:rsidTr="0092336A">
        <w:trPr>
          <w:jc w:val="center"/>
        </w:trPr>
        <w:tc>
          <w:tcPr>
            <w:tcW w:w="2497" w:type="dxa"/>
            <w:gridSpan w:val="2"/>
            <w:vMerge/>
          </w:tcPr>
          <w:p w:rsidR="00194B61" w:rsidRPr="006A09EA" w:rsidRDefault="00194B61" w:rsidP="0092336A">
            <w:pPr>
              <w:jc w:val="center"/>
              <w:rPr>
                <w:sz w:val="28"/>
                <w:szCs w:val="28"/>
              </w:rPr>
            </w:pPr>
          </w:p>
        </w:tc>
        <w:tc>
          <w:tcPr>
            <w:tcW w:w="1313" w:type="dxa"/>
          </w:tcPr>
          <w:p w:rsidR="00194B61" w:rsidRPr="006A09EA" w:rsidRDefault="00194B61" w:rsidP="0092336A">
            <w:pPr>
              <w:jc w:val="center"/>
              <w:rPr>
                <w:sz w:val="28"/>
                <w:szCs w:val="28"/>
              </w:rPr>
            </w:pPr>
            <w:r>
              <w:rPr>
                <w:sz w:val="28"/>
                <w:szCs w:val="28"/>
              </w:rPr>
              <w:t>Due Care</w:t>
            </w:r>
          </w:p>
        </w:tc>
        <w:tc>
          <w:tcPr>
            <w:tcW w:w="1260" w:type="dxa"/>
          </w:tcPr>
          <w:p w:rsidR="00194B61" w:rsidRPr="006A09EA" w:rsidRDefault="00194B61" w:rsidP="0092336A">
            <w:pPr>
              <w:jc w:val="center"/>
              <w:rPr>
                <w:sz w:val="28"/>
                <w:szCs w:val="28"/>
              </w:rPr>
            </w:pPr>
            <w:r>
              <w:rPr>
                <w:sz w:val="28"/>
                <w:szCs w:val="28"/>
              </w:rPr>
              <w:t>No Care</w:t>
            </w:r>
          </w:p>
        </w:tc>
      </w:tr>
      <w:tr w:rsidR="00194B61" w:rsidRPr="006A09EA" w:rsidTr="0092336A">
        <w:trPr>
          <w:jc w:val="center"/>
        </w:trPr>
        <w:tc>
          <w:tcPr>
            <w:tcW w:w="1181" w:type="dxa"/>
            <w:vMerge w:val="restart"/>
            <w:vAlign w:val="center"/>
          </w:tcPr>
          <w:p w:rsidR="00194B61" w:rsidRPr="00194B61" w:rsidRDefault="00194B61" w:rsidP="0092336A">
            <w:pPr>
              <w:jc w:val="center"/>
              <w:rPr>
                <w:i/>
                <w:sz w:val="28"/>
                <w:szCs w:val="28"/>
              </w:rPr>
            </w:pPr>
            <w:r w:rsidRPr="00194B61">
              <w:rPr>
                <w:i/>
                <w:sz w:val="28"/>
                <w:szCs w:val="28"/>
              </w:rPr>
              <w:t>Motorist</w:t>
            </w:r>
          </w:p>
        </w:tc>
        <w:tc>
          <w:tcPr>
            <w:tcW w:w="1316" w:type="dxa"/>
          </w:tcPr>
          <w:p w:rsidR="00194B61" w:rsidRPr="006A09EA" w:rsidRDefault="00194B61" w:rsidP="0092336A">
            <w:pPr>
              <w:jc w:val="right"/>
              <w:rPr>
                <w:sz w:val="28"/>
                <w:szCs w:val="28"/>
              </w:rPr>
            </w:pPr>
            <w:r>
              <w:rPr>
                <w:sz w:val="28"/>
                <w:szCs w:val="28"/>
              </w:rPr>
              <w:t>Due Care</w:t>
            </w:r>
          </w:p>
        </w:tc>
        <w:tc>
          <w:tcPr>
            <w:tcW w:w="1313" w:type="dxa"/>
          </w:tcPr>
          <w:p w:rsidR="00194B61" w:rsidRPr="006A09EA" w:rsidRDefault="00194B61" w:rsidP="000F5E8C">
            <w:pPr>
              <w:jc w:val="center"/>
              <w:rPr>
                <w:sz w:val="28"/>
                <w:szCs w:val="28"/>
              </w:rPr>
            </w:pPr>
            <w:r>
              <w:rPr>
                <w:sz w:val="28"/>
                <w:szCs w:val="28"/>
              </w:rPr>
              <w:t>-</w:t>
            </w:r>
            <w:r w:rsidR="000F5E8C">
              <w:rPr>
                <w:sz w:val="28"/>
                <w:szCs w:val="28"/>
              </w:rPr>
              <w:t>2</w:t>
            </w:r>
            <w:r>
              <w:rPr>
                <w:sz w:val="28"/>
                <w:szCs w:val="28"/>
              </w:rPr>
              <w:t>0,-10</w:t>
            </w:r>
          </w:p>
        </w:tc>
        <w:tc>
          <w:tcPr>
            <w:tcW w:w="1260" w:type="dxa"/>
          </w:tcPr>
          <w:p w:rsidR="00194B61" w:rsidRPr="006A09EA" w:rsidRDefault="00194B61" w:rsidP="0092336A">
            <w:pPr>
              <w:jc w:val="center"/>
              <w:rPr>
                <w:sz w:val="28"/>
                <w:szCs w:val="28"/>
              </w:rPr>
            </w:pPr>
            <w:r>
              <w:rPr>
                <w:sz w:val="28"/>
                <w:szCs w:val="28"/>
              </w:rPr>
              <w:t>-110,0</w:t>
            </w:r>
          </w:p>
        </w:tc>
      </w:tr>
      <w:tr w:rsidR="00194B61" w:rsidRPr="006A09EA" w:rsidTr="0092336A">
        <w:trPr>
          <w:jc w:val="center"/>
        </w:trPr>
        <w:tc>
          <w:tcPr>
            <w:tcW w:w="1181" w:type="dxa"/>
            <w:vMerge/>
          </w:tcPr>
          <w:p w:rsidR="00194B61" w:rsidRPr="006A09EA" w:rsidRDefault="00194B61" w:rsidP="0092336A">
            <w:pPr>
              <w:jc w:val="center"/>
              <w:rPr>
                <w:sz w:val="28"/>
                <w:szCs w:val="28"/>
              </w:rPr>
            </w:pPr>
          </w:p>
        </w:tc>
        <w:tc>
          <w:tcPr>
            <w:tcW w:w="1316" w:type="dxa"/>
          </w:tcPr>
          <w:p w:rsidR="00194B61" w:rsidRPr="006A09EA" w:rsidRDefault="00194B61" w:rsidP="0092336A">
            <w:pPr>
              <w:jc w:val="right"/>
              <w:rPr>
                <w:sz w:val="28"/>
                <w:szCs w:val="28"/>
              </w:rPr>
            </w:pPr>
            <w:r>
              <w:rPr>
                <w:sz w:val="28"/>
                <w:szCs w:val="28"/>
              </w:rPr>
              <w:t>No Care</w:t>
            </w:r>
          </w:p>
        </w:tc>
        <w:tc>
          <w:tcPr>
            <w:tcW w:w="1313" w:type="dxa"/>
          </w:tcPr>
          <w:p w:rsidR="00194B61" w:rsidRPr="006A09EA" w:rsidRDefault="00194B61" w:rsidP="0092336A">
            <w:pPr>
              <w:jc w:val="center"/>
              <w:rPr>
                <w:sz w:val="28"/>
                <w:szCs w:val="28"/>
              </w:rPr>
            </w:pPr>
            <w:r>
              <w:rPr>
                <w:sz w:val="28"/>
                <w:szCs w:val="28"/>
              </w:rPr>
              <w:t>-10</w:t>
            </w:r>
            <w:r w:rsidR="000F5E8C">
              <w:rPr>
                <w:sz w:val="28"/>
                <w:szCs w:val="28"/>
              </w:rPr>
              <w:t>0,-</w:t>
            </w:r>
            <w:r>
              <w:rPr>
                <w:sz w:val="28"/>
                <w:szCs w:val="28"/>
              </w:rPr>
              <w:t>10</w:t>
            </w:r>
          </w:p>
        </w:tc>
        <w:tc>
          <w:tcPr>
            <w:tcW w:w="1260" w:type="dxa"/>
          </w:tcPr>
          <w:p w:rsidR="00194B61" w:rsidRPr="006A09EA" w:rsidRDefault="000F5E8C" w:rsidP="0092336A">
            <w:pPr>
              <w:jc w:val="center"/>
              <w:rPr>
                <w:sz w:val="28"/>
                <w:szCs w:val="28"/>
              </w:rPr>
            </w:pPr>
            <w:r>
              <w:rPr>
                <w:sz w:val="28"/>
                <w:szCs w:val="28"/>
              </w:rPr>
              <w:t>-100,</w:t>
            </w:r>
            <w:r w:rsidR="00194B61">
              <w:rPr>
                <w:sz w:val="28"/>
                <w:szCs w:val="28"/>
              </w:rPr>
              <w:t>0</w:t>
            </w:r>
          </w:p>
        </w:tc>
      </w:tr>
    </w:tbl>
    <w:p w:rsidR="00194B61" w:rsidRDefault="00194B61" w:rsidP="00194B61">
      <w:pPr>
        <w:ind w:left="1440"/>
        <w:jc w:val="both"/>
        <w:rPr>
          <w:sz w:val="28"/>
          <w:szCs w:val="28"/>
        </w:rPr>
      </w:pPr>
    </w:p>
    <w:p w:rsidR="00194B61" w:rsidRDefault="000F5E8C" w:rsidP="000F5E8C">
      <w:pPr>
        <w:numPr>
          <w:ilvl w:val="2"/>
          <w:numId w:val="10"/>
        </w:numPr>
        <w:jc w:val="both"/>
        <w:rPr>
          <w:sz w:val="28"/>
          <w:szCs w:val="28"/>
        </w:rPr>
      </w:pPr>
      <w:r>
        <w:rPr>
          <w:sz w:val="28"/>
          <w:szCs w:val="28"/>
        </w:rPr>
        <w:t>What about NE and dominant strategies here?</w:t>
      </w:r>
    </w:p>
    <w:p w:rsidR="00194B61" w:rsidRDefault="0064058B" w:rsidP="000F5E8C">
      <w:pPr>
        <w:numPr>
          <w:ilvl w:val="1"/>
          <w:numId w:val="10"/>
        </w:numPr>
        <w:jc w:val="both"/>
        <w:rPr>
          <w:sz w:val="28"/>
          <w:szCs w:val="28"/>
        </w:rPr>
      </w:pPr>
      <w:r>
        <w:rPr>
          <w:sz w:val="28"/>
          <w:szCs w:val="28"/>
        </w:rPr>
        <w:t>So both of these approaches are pretty lousy but they have their role.</w:t>
      </w:r>
    </w:p>
    <w:p w:rsidR="0064058B" w:rsidRDefault="0064058B" w:rsidP="0064058B">
      <w:pPr>
        <w:numPr>
          <w:ilvl w:val="2"/>
          <w:numId w:val="10"/>
        </w:numPr>
        <w:jc w:val="both"/>
        <w:rPr>
          <w:sz w:val="28"/>
          <w:szCs w:val="28"/>
        </w:rPr>
      </w:pPr>
      <w:r>
        <w:rPr>
          <w:sz w:val="28"/>
          <w:szCs w:val="28"/>
        </w:rPr>
        <w:t xml:space="preserve">Some things have strict liability like robbery </w:t>
      </w:r>
      <w:r w:rsidR="003665A7">
        <w:rPr>
          <w:sz w:val="28"/>
          <w:szCs w:val="28"/>
        </w:rPr>
        <w:t>or airplane crash victims</w:t>
      </w:r>
      <w:r>
        <w:rPr>
          <w:sz w:val="28"/>
          <w:szCs w:val="28"/>
        </w:rPr>
        <w:t>. There is no due care for the victim to take</w:t>
      </w:r>
      <w:r w:rsidR="00267A57">
        <w:rPr>
          <w:sz w:val="28"/>
          <w:szCs w:val="28"/>
        </w:rPr>
        <w:t xml:space="preserve"> (or, more accurately, the due care is very expensive to take)</w:t>
      </w:r>
      <w:r>
        <w:rPr>
          <w:sz w:val="28"/>
          <w:szCs w:val="28"/>
        </w:rPr>
        <w:t xml:space="preserve">. </w:t>
      </w:r>
      <w:r w:rsidR="003665A7">
        <w:rPr>
          <w:sz w:val="28"/>
          <w:szCs w:val="28"/>
        </w:rPr>
        <w:t>I</w:t>
      </w:r>
      <w:r>
        <w:rPr>
          <w:sz w:val="28"/>
          <w:szCs w:val="28"/>
        </w:rPr>
        <w:t xml:space="preserve">f I leave my computer somewhere, the thief doesn’t </w:t>
      </w:r>
      <w:r w:rsidRPr="00774CC3">
        <w:rPr>
          <w:sz w:val="28"/>
          <w:szCs w:val="28"/>
          <w:u w:val="single"/>
        </w:rPr>
        <w:t>get</w:t>
      </w:r>
      <w:r>
        <w:rPr>
          <w:sz w:val="28"/>
          <w:szCs w:val="28"/>
        </w:rPr>
        <w:t xml:space="preserve"> to </w:t>
      </w:r>
      <w:r w:rsidR="003665A7">
        <w:rPr>
          <w:sz w:val="28"/>
          <w:szCs w:val="28"/>
        </w:rPr>
        <w:t>take</w:t>
      </w:r>
      <w:r>
        <w:rPr>
          <w:sz w:val="28"/>
          <w:szCs w:val="28"/>
        </w:rPr>
        <w:t xml:space="preserve"> it. If caught, </w:t>
      </w:r>
      <w:r w:rsidR="003665A7">
        <w:rPr>
          <w:sz w:val="28"/>
          <w:szCs w:val="28"/>
        </w:rPr>
        <w:t>s/he will still be arrested</w:t>
      </w:r>
      <w:r>
        <w:rPr>
          <w:sz w:val="28"/>
          <w:szCs w:val="28"/>
        </w:rPr>
        <w:t>.</w:t>
      </w:r>
    </w:p>
    <w:p w:rsidR="0064058B" w:rsidRDefault="0064058B" w:rsidP="0064058B">
      <w:pPr>
        <w:numPr>
          <w:ilvl w:val="2"/>
          <w:numId w:val="10"/>
        </w:numPr>
        <w:jc w:val="both"/>
        <w:rPr>
          <w:sz w:val="28"/>
          <w:szCs w:val="28"/>
        </w:rPr>
      </w:pPr>
      <w:r>
        <w:rPr>
          <w:sz w:val="28"/>
          <w:szCs w:val="28"/>
        </w:rPr>
        <w:t>Other things have no liability like if you go to a restaurant and the service is bad. Knowing that they can’t sue for damages, customers take due care (</w:t>
      </w:r>
      <w:r w:rsidR="00774CC3">
        <w:rPr>
          <w:sz w:val="28"/>
          <w:szCs w:val="28"/>
        </w:rPr>
        <w:t xml:space="preserve">by </w:t>
      </w:r>
      <w:r>
        <w:rPr>
          <w:sz w:val="28"/>
          <w:szCs w:val="28"/>
        </w:rPr>
        <w:t>look</w:t>
      </w:r>
      <w:r w:rsidR="00774CC3">
        <w:rPr>
          <w:sz w:val="28"/>
          <w:szCs w:val="28"/>
        </w:rPr>
        <w:t>ing</w:t>
      </w:r>
      <w:r>
        <w:rPr>
          <w:sz w:val="28"/>
          <w:szCs w:val="28"/>
        </w:rPr>
        <w:t xml:space="preserve"> at Yelp ratings, for </w:t>
      </w:r>
      <w:r>
        <w:rPr>
          <w:sz w:val="28"/>
          <w:szCs w:val="28"/>
        </w:rPr>
        <w:lastRenderedPageBreak/>
        <w:t>example).</w:t>
      </w:r>
      <w:r w:rsidR="00267A57">
        <w:rPr>
          <w:sz w:val="28"/>
          <w:szCs w:val="28"/>
        </w:rPr>
        <w:t xml:space="preserve"> Again, note the benefit to legally requiring the service to take due care is small compared with the cost. After all, they already have a strong incentive to take due care.</w:t>
      </w:r>
    </w:p>
    <w:p w:rsidR="00267A57" w:rsidRDefault="00267A57" w:rsidP="00267A57">
      <w:pPr>
        <w:numPr>
          <w:ilvl w:val="3"/>
          <w:numId w:val="10"/>
        </w:numPr>
        <w:jc w:val="both"/>
        <w:rPr>
          <w:sz w:val="28"/>
          <w:szCs w:val="28"/>
        </w:rPr>
      </w:pPr>
      <w:r>
        <w:rPr>
          <w:sz w:val="28"/>
          <w:szCs w:val="28"/>
        </w:rPr>
        <w:t>Some might call into question the role of health inspectors and licensing requirement based on this observation. When does it make sense and when does it not?</w:t>
      </w:r>
    </w:p>
    <w:p w:rsidR="003665A7" w:rsidRDefault="003665A7" w:rsidP="003665A7">
      <w:pPr>
        <w:numPr>
          <w:ilvl w:val="1"/>
          <w:numId w:val="10"/>
        </w:numPr>
        <w:jc w:val="both"/>
        <w:rPr>
          <w:sz w:val="28"/>
          <w:szCs w:val="28"/>
        </w:rPr>
      </w:pPr>
      <w:r>
        <w:rPr>
          <w:sz w:val="28"/>
          <w:szCs w:val="28"/>
        </w:rPr>
        <w:t xml:space="preserve">But most of the time, we’d like a balance between the two. So </w:t>
      </w:r>
      <w:r w:rsidR="00267A57">
        <w:rPr>
          <w:sz w:val="28"/>
          <w:szCs w:val="28"/>
        </w:rPr>
        <w:t>there is</w:t>
      </w:r>
      <w:r>
        <w:rPr>
          <w:sz w:val="28"/>
          <w:szCs w:val="28"/>
        </w:rPr>
        <w:t xml:space="preserve"> </w:t>
      </w:r>
      <w:r w:rsidR="00854733">
        <w:rPr>
          <w:sz w:val="28"/>
          <w:szCs w:val="28"/>
        </w:rPr>
        <w:t xml:space="preserve">negligence plus </w:t>
      </w:r>
      <w:r>
        <w:rPr>
          <w:sz w:val="28"/>
          <w:szCs w:val="28"/>
        </w:rPr>
        <w:t xml:space="preserve">contributory negligence. </w:t>
      </w:r>
      <w:r w:rsidR="00854733">
        <w:rPr>
          <w:sz w:val="28"/>
          <w:szCs w:val="28"/>
        </w:rPr>
        <w:t xml:space="preserve">The pedestrian </w:t>
      </w:r>
      <w:r w:rsidR="00774CC3">
        <w:rPr>
          <w:sz w:val="28"/>
          <w:szCs w:val="28"/>
        </w:rPr>
        <w:t>gets</w:t>
      </w:r>
      <w:r w:rsidR="00854733">
        <w:rPr>
          <w:sz w:val="28"/>
          <w:szCs w:val="28"/>
        </w:rPr>
        <w:t xml:space="preserve"> </w:t>
      </w:r>
      <w:r w:rsidR="00774CC3">
        <w:rPr>
          <w:sz w:val="28"/>
          <w:szCs w:val="28"/>
        </w:rPr>
        <w:t xml:space="preserve">cost of </w:t>
      </w:r>
      <w:r w:rsidR="00854733">
        <w:rPr>
          <w:sz w:val="28"/>
          <w:szCs w:val="28"/>
        </w:rPr>
        <w:t>damages only if s/he took due care and the motorist did not.</w:t>
      </w:r>
    </w:p>
    <w:p w:rsidR="00854733" w:rsidRDefault="00854733" w:rsidP="00854733">
      <w:pPr>
        <w:ind w:left="1440"/>
        <w:jc w:val="both"/>
        <w:rPr>
          <w:sz w:val="28"/>
          <w:szCs w:val="28"/>
        </w:rPr>
      </w:pPr>
    </w:p>
    <w:tbl>
      <w:tblPr>
        <w:tblW w:w="0" w:type="auto"/>
        <w:jc w:val="center"/>
        <w:tblInd w:w="619" w:type="dxa"/>
        <w:tblBorders>
          <w:insideH w:val="single" w:sz="4" w:space="0" w:color="auto"/>
          <w:insideV w:val="single" w:sz="4" w:space="0" w:color="auto"/>
        </w:tblBorders>
        <w:tblLook w:val="04A0"/>
      </w:tblPr>
      <w:tblGrid>
        <w:gridCol w:w="1181"/>
        <w:gridCol w:w="1316"/>
        <w:gridCol w:w="1313"/>
        <w:gridCol w:w="1260"/>
      </w:tblGrid>
      <w:tr w:rsidR="00854733" w:rsidRPr="006A09EA" w:rsidTr="00854733">
        <w:trPr>
          <w:jc w:val="center"/>
        </w:trPr>
        <w:tc>
          <w:tcPr>
            <w:tcW w:w="2497" w:type="dxa"/>
            <w:gridSpan w:val="2"/>
            <w:vMerge w:val="restart"/>
            <w:vAlign w:val="center"/>
          </w:tcPr>
          <w:p w:rsidR="00854733" w:rsidRPr="006A09EA" w:rsidRDefault="00854733" w:rsidP="00854733">
            <w:pPr>
              <w:jc w:val="center"/>
              <w:rPr>
                <w:sz w:val="28"/>
                <w:szCs w:val="28"/>
              </w:rPr>
            </w:pPr>
          </w:p>
        </w:tc>
        <w:tc>
          <w:tcPr>
            <w:tcW w:w="2573" w:type="dxa"/>
            <w:gridSpan w:val="2"/>
          </w:tcPr>
          <w:p w:rsidR="00854733" w:rsidRPr="00194B61" w:rsidRDefault="00854733" w:rsidP="0092336A">
            <w:pPr>
              <w:jc w:val="center"/>
              <w:rPr>
                <w:i/>
                <w:sz w:val="28"/>
                <w:szCs w:val="28"/>
              </w:rPr>
            </w:pPr>
            <w:r w:rsidRPr="00194B61">
              <w:rPr>
                <w:i/>
                <w:sz w:val="28"/>
                <w:szCs w:val="28"/>
              </w:rPr>
              <w:t>Pedestrian</w:t>
            </w:r>
          </w:p>
        </w:tc>
      </w:tr>
      <w:tr w:rsidR="00854733" w:rsidRPr="006A09EA" w:rsidTr="0092336A">
        <w:trPr>
          <w:jc w:val="center"/>
        </w:trPr>
        <w:tc>
          <w:tcPr>
            <w:tcW w:w="2497" w:type="dxa"/>
            <w:gridSpan w:val="2"/>
            <w:vMerge/>
          </w:tcPr>
          <w:p w:rsidR="00854733" w:rsidRPr="006A09EA" w:rsidRDefault="00854733" w:rsidP="0092336A">
            <w:pPr>
              <w:jc w:val="center"/>
              <w:rPr>
                <w:sz w:val="28"/>
                <w:szCs w:val="28"/>
              </w:rPr>
            </w:pPr>
          </w:p>
        </w:tc>
        <w:tc>
          <w:tcPr>
            <w:tcW w:w="1313" w:type="dxa"/>
          </w:tcPr>
          <w:p w:rsidR="00854733" w:rsidRPr="006A09EA" w:rsidRDefault="00854733" w:rsidP="0092336A">
            <w:pPr>
              <w:jc w:val="center"/>
              <w:rPr>
                <w:sz w:val="28"/>
                <w:szCs w:val="28"/>
              </w:rPr>
            </w:pPr>
            <w:r>
              <w:rPr>
                <w:sz w:val="28"/>
                <w:szCs w:val="28"/>
              </w:rPr>
              <w:t>Due Care</w:t>
            </w:r>
          </w:p>
        </w:tc>
        <w:tc>
          <w:tcPr>
            <w:tcW w:w="1260" w:type="dxa"/>
          </w:tcPr>
          <w:p w:rsidR="00854733" w:rsidRPr="006A09EA" w:rsidRDefault="00854733" w:rsidP="0092336A">
            <w:pPr>
              <w:jc w:val="center"/>
              <w:rPr>
                <w:sz w:val="28"/>
                <w:szCs w:val="28"/>
              </w:rPr>
            </w:pPr>
            <w:r>
              <w:rPr>
                <w:sz w:val="28"/>
                <w:szCs w:val="28"/>
              </w:rPr>
              <w:t>No Care</w:t>
            </w:r>
          </w:p>
        </w:tc>
      </w:tr>
      <w:tr w:rsidR="00854733" w:rsidRPr="006A09EA" w:rsidTr="0092336A">
        <w:trPr>
          <w:jc w:val="center"/>
        </w:trPr>
        <w:tc>
          <w:tcPr>
            <w:tcW w:w="1181" w:type="dxa"/>
            <w:vMerge w:val="restart"/>
            <w:vAlign w:val="center"/>
          </w:tcPr>
          <w:p w:rsidR="00854733" w:rsidRPr="00194B61" w:rsidRDefault="00854733" w:rsidP="0092336A">
            <w:pPr>
              <w:jc w:val="center"/>
              <w:rPr>
                <w:i/>
                <w:sz w:val="28"/>
                <w:szCs w:val="28"/>
              </w:rPr>
            </w:pPr>
            <w:r w:rsidRPr="00194B61">
              <w:rPr>
                <w:i/>
                <w:sz w:val="28"/>
                <w:szCs w:val="28"/>
              </w:rPr>
              <w:t>Motorist</w:t>
            </w:r>
          </w:p>
        </w:tc>
        <w:tc>
          <w:tcPr>
            <w:tcW w:w="1316" w:type="dxa"/>
          </w:tcPr>
          <w:p w:rsidR="00854733" w:rsidRPr="006A09EA" w:rsidRDefault="00854733" w:rsidP="0092336A">
            <w:pPr>
              <w:jc w:val="right"/>
              <w:rPr>
                <w:sz w:val="28"/>
                <w:szCs w:val="28"/>
              </w:rPr>
            </w:pPr>
            <w:r>
              <w:rPr>
                <w:sz w:val="28"/>
                <w:szCs w:val="28"/>
              </w:rPr>
              <w:t>Due Care</w:t>
            </w:r>
          </w:p>
        </w:tc>
        <w:tc>
          <w:tcPr>
            <w:tcW w:w="1313" w:type="dxa"/>
          </w:tcPr>
          <w:p w:rsidR="00854733" w:rsidRPr="006A09EA" w:rsidRDefault="00854733" w:rsidP="0092336A">
            <w:pPr>
              <w:jc w:val="center"/>
              <w:rPr>
                <w:sz w:val="28"/>
                <w:szCs w:val="28"/>
              </w:rPr>
            </w:pPr>
            <w:r>
              <w:rPr>
                <w:sz w:val="28"/>
                <w:szCs w:val="28"/>
              </w:rPr>
              <w:t>-20,-10</w:t>
            </w:r>
          </w:p>
        </w:tc>
        <w:tc>
          <w:tcPr>
            <w:tcW w:w="1260" w:type="dxa"/>
          </w:tcPr>
          <w:p w:rsidR="00854733" w:rsidRPr="006A09EA" w:rsidRDefault="00854733" w:rsidP="0092336A">
            <w:pPr>
              <w:jc w:val="center"/>
              <w:rPr>
                <w:sz w:val="28"/>
                <w:szCs w:val="28"/>
              </w:rPr>
            </w:pPr>
            <w:r>
              <w:rPr>
                <w:sz w:val="28"/>
                <w:szCs w:val="28"/>
              </w:rPr>
              <w:t>-10,-100</w:t>
            </w:r>
          </w:p>
        </w:tc>
      </w:tr>
      <w:tr w:rsidR="00854733" w:rsidRPr="006A09EA" w:rsidTr="0092336A">
        <w:trPr>
          <w:jc w:val="center"/>
        </w:trPr>
        <w:tc>
          <w:tcPr>
            <w:tcW w:w="1181" w:type="dxa"/>
            <w:vMerge/>
          </w:tcPr>
          <w:p w:rsidR="00854733" w:rsidRPr="006A09EA" w:rsidRDefault="00854733" w:rsidP="0092336A">
            <w:pPr>
              <w:jc w:val="center"/>
              <w:rPr>
                <w:sz w:val="28"/>
                <w:szCs w:val="28"/>
              </w:rPr>
            </w:pPr>
          </w:p>
        </w:tc>
        <w:tc>
          <w:tcPr>
            <w:tcW w:w="1316" w:type="dxa"/>
          </w:tcPr>
          <w:p w:rsidR="00854733" w:rsidRPr="006A09EA" w:rsidRDefault="00854733" w:rsidP="0092336A">
            <w:pPr>
              <w:jc w:val="right"/>
              <w:rPr>
                <w:sz w:val="28"/>
                <w:szCs w:val="28"/>
              </w:rPr>
            </w:pPr>
            <w:r>
              <w:rPr>
                <w:sz w:val="28"/>
                <w:szCs w:val="28"/>
              </w:rPr>
              <w:t>No Care</w:t>
            </w:r>
          </w:p>
        </w:tc>
        <w:tc>
          <w:tcPr>
            <w:tcW w:w="1313" w:type="dxa"/>
          </w:tcPr>
          <w:p w:rsidR="00854733" w:rsidRPr="006A09EA" w:rsidRDefault="00854733" w:rsidP="0092336A">
            <w:pPr>
              <w:jc w:val="center"/>
              <w:rPr>
                <w:sz w:val="28"/>
                <w:szCs w:val="28"/>
              </w:rPr>
            </w:pPr>
            <w:r>
              <w:rPr>
                <w:sz w:val="28"/>
                <w:szCs w:val="28"/>
              </w:rPr>
              <w:t>-100,-10</w:t>
            </w:r>
          </w:p>
        </w:tc>
        <w:tc>
          <w:tcPr>
            <w:tcW w:w="1260" w:type="dxa"/>
          </w:tcPr>
          <w:p w:rsidR="00854733" w:rsidRPr="006A09EA" w:rsidRDefault="00854733" w:rsidP="00854733">
            <w:pPr>
              <w:jc w:val="center"/>
              <w:rPr>
                <w:sz w:val="28"/>
                <w:szCs w:val="28"/>
              </w:rPr>
            </w:pPr>
            <w:r>
              <w:rPr>
                <w:sz w:val="28"/>
                <w:szCs w:val="28"/>
              </w:rPr>
              <w:t>0,-100</w:t>
            </w:r>
          </w:p>
        </w:tc>
      </w:tr>
    </w:tbl>
    <w:p w:rsidR="00854733" w:rsidRDefault="00854733" w:rsidP="00854733">
      <w:pPr>
        <w:ind w:left="1440"/>
        <w:jc w:val="both"/>
        <w:rPr>
          <w:sz w:val="28"/>
          <w:szCs w:val="28"/>
        </w:rPr>
      </w:pPr>
    </w:p>
    <w:p w:rsidR="00854733" w:rsidRDefault="00854733" w:rsidP="00854733">
      <w:pPr>
        <w:numPr>
          <w:ilvl w:val="2"/>
          <w:numId w:val="10"/>
        </w:numPr>
        <w:jc w:val="both"/>
        <w:rPr>
          <w:sz w:val="28"/>
          <w:szCs w:val="28"/>
        </w:rPr>
      </w:pPr>
      <w:r>
        <w:rPr>
          <w:sz w:val="28"/>
          <w:szCs w:val="28"/>
        </w:rPr>
        <w:t>What’s the dominate strategy? Where’s NE?</w:t>
      </w:r>
    </w:p>
    <w:p w:rsidR="00603AEF" w:rsidRDefault="00603AEF" w:rsidP="00603AEF">
      <w:pPr>
        <w:numPr>
          <w:ilvl w:val="1"/>
          <w:numId w:val="10"/>
        </w:numPr>
        <w:jc w:val="both"/>
        <w:rPr>
          <w:sz w:val="28"/>
          <w:szCs w:val="28"/>
        </w:rPr>
      </w:pPr>
      <w:r w:rsidRPr="00603AEF">
        <w:rPr>
          <w:sz w:val="28"/>
          <w:szCs w:val="28"/>
        </w:rPr>
        <w:t xml:space="preserve">Some argue that due care shouldn’t be an absolute standard—if the victim falls just short of due care, should she be held completely responsible? Thus we sometimes see regimes of </w:t>
      </w:r>
      <w:r w:rsidRPr="00603AEF">
        <w:rPr>
          <w:i/>
          <w:sz w:val="28"/>
          <w:szCs w:val="28"/>
        </w:rPr>
        <w:t>comparative negligence</w:t>
      </w:r>
      <w:r w:rsidRPr="00603AEF">
        <w:rPr>
          <w:sz w:val="28"/>
          <w:szCs w:val="28"/>
        </w:rPr>
        <w:t>.</w:t>
      </w:r>
      <w:r>
        <w:rPr>
          <w:sz w:val="28"/>
          <w:szCs w:val="28"/>
        </w:rPr>
        <w:t xml:space="preserve"> There are two main types.</w:t>
      </w:r>
    </w:p>
    <w:p w:rsidR="00854733" w:rsidRDefault="00603AEF" w:rsidP="00603AEF">
      <w:pPr>
        <w:numPr>
          <w:ilvl w:val="2"/>
          <w:numId w:val="10"/>
        </w:numPr>
        <w:jc w:val="both"/>
        <w:rPr>
          <w:sz w:val="28"/>
          <w:szCs w:val="28"/>
        </w:rPr>
      </w:pPr>
      <w:r w:rsidRPr="00603AEF">
        <w:rPr>
          <w:sz w:val="28"/>
          <w:szCs w:val="28"/>
        </w:rPr>
        <w:t>Juries are assigned to determine what “percent” of the accident is each party’s fault and payment is derived from that. Obviously there is some given in the exact percent (which can easily translate into millions of dollars).</w:t>
      </w:r>
    </w:p>
    <w:p w:rsidR="00603AEF" w:rsidRPr="00603AEF" w:rsidRDefault="00603AEF" w:rsidP="00603AEF">
      <w:pPr>
        <w:numPr>
          <w:ilvl w:val="2"/>
          <w:numId w:val="10"/>
        </w:numPr>
        <w:jc w:val="both"/>
        <w:rPr>
          <w:sz w:val="28"/>
          <w:szCs w:val="28"/>
        </w:rPr>
      </w:pPr>
      <w:r>
        <w:rPr>
          <w:sz w:val="28"/>
          <w:szCs w:val="28"/>
        </w:rPr>
        <w:t>Otherwise, the plaintiff recovers damages only if she was less negligent than the defendant. This incentivizes not to take due care but just a little bit more care than the other party.</w:t>
      </w:r>
      <w:r w:rsidR="00477BA7">
        <w:rPr>
          <w:sz w:val="28"/>
          <w:szCs w:val="28"/>
        </w:rPr>
        <w:t xml:space="preserve"> Yet the game theory claims each party will arrive at complete due care.</w:t>
      </w:r>
    </w:p>
    <w:p w:rsidR="00603AEF" w:rsidRDefault="00603AEF" w:rsidP="00603AEF">
      <w:pPr>
        <w:numPr>
          <w:ilvl w:val="2"/>
          <w:numId w:val="10"/>
        </w:numPr>
        <w:jc w:val="both"/>
        <w:rPr>
          <w:sz w:val="28"/>
          <w:szCs w:val="28"/>
        </w:rPr>
      </w:pPr>
      <w:r>
        <w:rPr>
          <w:sz w:val="28"/>
          <w:szCs w:val="28"/>
        </w:rPr>
        <w:t>Alabama, Maryland, Virginia, DC, and North Carolina follow some version of this rule.</w:t>
      </w:r>
    </w:p>
    <w:p w:rsidR="00774CC3" w:rsidRDefault="00774CC3" w:rsidP="00774CC3">
      <w:pPr>
        <w:numPr>
          <w:ilvl w:val="0"/>
          <w:numId w:val="10"/>
        </w:numPr>
        <w:jc w:val="both"/>
        <w:rPr>
          <w:sz w:val="28"/>
          <w:szCs w:val="28"/>
        </w:rPr>
      </w:pPr>
      <w:r>
        <w:rPr>
          <w:sz w:val="28"/>
          <w:szCs w:val="28"/>
        </w:rPr>
        <w:t>Learned Hand Formula</w:t>
      </w:r>
    </w:p>
    <w:p w:rsidR="00774CC3" w:rsidRDefault="00774CC3" w:rsidP="00774CC3">
      <w:pPr>
        <w:numPr>
          <w:ilvl w:val="1"/>
          <w:numId w:val="10"/>
        </w:numPr>
        <w:jc w:val="both"/>
        <w:rPr>
          <w:sz w:val="28"/>
          <w:szCs w:val="28"/>
        </w:rPr>
      </w:pPr>
      <w:r>
        <w:rPr>
          <w:sz w:val="28"/>
          <w:szCs w:val="28"/>
        </w:rPr>
        <w:t>Crafted by Judge Learned Hand in 1947, the Hand formula describes someone should be held responsible due to negligence if:</w:t>
      </w:r>
    </w:p>
    <w:p w:rsidR="00774CC3" w:rsidRDefault="00774CC3" w:rsidP="00774CC3">
      <w:pPr>
        <w:ind w:left="1440"/>
        <w:jc w:val="both"/>
        <w:rPr>
          <w:sz w:val="28"/>
          <w:szCs w:val="28"/>
        </w:rPr>
      </w:pPr>
    </w:p>
    <w:p w:rsidR="00774CC3" w:rsidRDefault="00774CC3" w:rsidP="00774CC3">
      <w:pPr>
        <w:ind w:left="1440"/>
        <w:jc w:val="both"/>
        <w:rPr>
          <w:sz w:val="28"/>
          <w:szCs w:val="28"/>
        </w:rPr>
      </w:pPr>
      <m:oMathPara>
        <m:oMath>
          <m:r>
            <w:rPr>
              <w:rFonts w:ascii="Cambria Math" w:hAnsi="Cambria Math"/>
              <w:sz w:val="28"/>
              <w:szCs w:val="28"/>
            </w:rPr>
            <m:t>B&lt;pL</m:t>
          </m:r>
        </m:oMath>
      </m:oMathPara>
    </w:p>
    <w:p w:rsidR="00774CC3" w:rsidRDefault="00774CC3" w:rsidP="00774CC3">
      <w:pPr>
        <w:ind w:left="2160"/>
        <w:jc w:val="both"/>
        <w:rPr>
          <w:sz w:val="28"/>
          <w:szCs w:val="28"/>
        </w:rPr>
      </w:pPr>
    </w:p>
    <w:p w:rsidR="00774CC3" w:rsidRDefault="00774CC3" w:rsidP="00774CC3">
      <w:pPr>
        <w:numPr>
          <w:ilvl w:val="2"/>
          <w:numId w:val="10"/>
        </w:numPr>
        <w:jc w:val="both"/>
        <w:rPr>
          <w:sz w:val="28"/>
          <w:szCs w:val="28"/>
        </w:rPr>
      </w:pPr>
      <w:r>
        <w:rPr>
          <w:sz w:val="28"/>
          <w:szCs w:val="28"/>
        </w:rPr>
        <w:t xml:space="preserve">Where </w:t>
      </w:r>
      <w:r w:rsidRPr="00B3531A">
        <w:rPr>
          <w:b/>
          <w:sz w:val="28"/>
          <w:szCs w:val="28"/>
        </w:rPr>
        <w:t>B</w:t>
      </w:r>
      <w:r>
        <w:rPr>
          <w:sz w:val="28"/>
          <w:szCs w:val="28"/>
        </w:rPr>
        <w:t xml:space="preserve"> is the burden of avoiding the accident,</w:t>
      </w:r>
    </w:p>
    <w:p w:rsidR="00774CC3" w:rsidRDefault="00774CC3" w:rsidP="00774CC3">
      <w:pPr>
        <w:numPr>
          <w:ilvl w:val="2"/>
          <w:numId w:val="10"/>
        </w:numPr>
        <w:jc w:val="both"/>
        <w:rPr>
          <w:sz w:val="28"/>
          <w:szCs w:val="28"/>
        </w:rPr>
      </w:pPr>
      <w:r w:rsidRPr="00B3531A">
        <w:rPr>
          <w:b/>
          <w:sz w:val="28"/>
          <w:szCs w:val="28"/>
        </w:rPr>
        <w:t>p</w:t>
      </w:r>
      <w:r>
        <w:rPr>
          <w:sz w:val="28"/>
          <w:szCs w:val="28"/>
        </w:rPr>
        <w:t xml:space="preserve"> is the probability the accident will occur, and</w:t>
      </w:r>
    </w:p>
    <w:p w:rsidR="00774CC3" w:rsidRDefault="00774CC3" w:rsidP="00774CC3">
      <w:pPr>
        <w:numPr>
          <w:ilvl w:val="2"/>
          <w:numId w:val="10"/>
        </w:numPr>
        <w:jc w:val="both"/>
        <w:rPr>
          <w:sz w:val="28"/>
          <w:szCs w:val="28"/>
        </w:rPr>
      </w:pPr>
      <w:r>
        <w:rPr>
          <w:b/>
          <w:sz w:val="28"/>
          <w:szCs w:val="28"/>
        </w:rPr>
        <w:t>L</w:t>
      </w:r>
      <w:r>
        <w:rPr>
          <w:sz w:val="28"/>
          <w:szCs w:val="28"/>
        </w:rPr>
        <w:t xml:space="preserve"> is the cost of the accident.</w:t>
      </w:r>
    </w:p>
    <w:p w:rsidR="00774CC3" w:rsidRDefault="00774CC3" w:rsidP="00774CC3">
      <w:pPr>
        <w:numPr>
          <w:ilvl w:val="1"/>
          <w:numId w:val="10"/>
        </w:numPr>
        <w:jc w:val="both"/>
        <w:rPr>
          <w:sz w:val="28"/>
          <w:szCs w:val="28"/>
        </w:rPr>
      </w:pPr>
      <w:r>
        <w:rPr>
          <w:sz w:val="28"/>
          <w:szCs w:val="28"/>
        </w:rPr>
        <w:lastRenderedPageBreak/>
        <w:t>So if there are no handrails (which are cheap to install) to prevent people from falling off a balcony (which is common and dangerous), the owner will be held liable.</w:t>
      </w:r>
    </w:p>
    <w:p w:rsidR="00774CC3" w:rsidRDefault="00774CC3" w:rsidP="00774CC3">
      <w:pPr>
        <w:numPr>
          <w:ilvl w:val="1"/>
          <w:numId w:val="10"/>
        </w:numPr>
        <w:jc w:val="both"/>
        <w:rPr>
          <w:sz w:val="28"/>
          <w:szCs w:val="28"/>
        </w:rPr>
      </w:pPr>
      <w:r>
        <w:rPr>
          <w:sz w:val="28"/>
          <w:szCs w:val="28"/>
        </w:rPr>
        <w:t>But if an owner didn’t clear the sidewalk of ice shortly after it formed (which is expensive to do) to prevent people from slipping (uncommon given the time constraint and not very harmful if it happens)</w:t>
      </w:r>
      <w:proofErr w:type="gramStart"/>
      <w:r>
        <w:rPr>
          <w:sz w:val="28"/>
          <w:szCs w:val="28"/>
        </w:rPr>
        <w:t>,</w:t>
      </w:r>
      <w:proofErr w:type="gramEnd"/>
      <w:r>
        <w:rPr>
          <w:sz w:val="28"/>
          <w:szCs w:val="28"/>
        </w:rPr>
        <w:t xml:space="preserve"> the owner won’t be held liable.</w:t>
      </w:r>
    </w:p>
    <w:p w:rsidR="00774CC3" w:rsidRDefault="00774CC3" w:rsidP="00774CC3">
      <w:pPr>
        <w:numPr>
          <w:ilvl w:val="2"/>
          <w:numId w:val="10"/>
        </w:numPr>
        <w:jc w:val="both"/>
        <w:rPr>
          <w:sz w:val="28"/>
          <w:szCs w:val="28"/>
        </w:rPr>
      </w:pPr>
      <w:r>
        <w:rPr>
          <w:i/>
          <w:sz w:val="28"/>
          <w:szCs w:val="28"/>
        </w:rPr>
        <w:t xml:space="preserve">U.S. v. Carroll Towing Co. </w:t>
      </w:r>
      <w:r>
        <w:rPr>
          <w:sz w:val="28"/>
          <w:szCs w:val="28"/>
        </w:rPr>
        <w:t xml:space="preserve">(1947) describes a case involving the federal government hiring the Connors Company to ship flour. The flour was on a barge tied to the pier when Carroll </w:t>
      </w:r>
      <w:proofErr w:type="spellStart"/>
      <w:r>
        <w:rPr>
          <w:sz w:val="28"/>
          <w:szCs w:val="28"/>
        </w:rPr>
        <w:t>Towing’s</w:t>
      </w:r>
      <w:proofErr w:type="spellEnd"/>
      <w:r>
        <w:rPr>
          <w:sz w:val="28"/>
          <w:szCs w:val="28"/>
        </w:rPr>
        <w:t xml:space="preserve"> tugboat attempted to move a different barge. It hits the barge with the flour, broke from the pier, and collided with a propeller. It, and the flour, sunk. Because Connors didn’t have a watchman on the barge, not only was Carroll found negligent but Connors as well. Because the pier was so busy, and this was usual, Connors should have anticipated this problem.</w:t>
      </w:r>
    </w:p>
    <w:p w:rsidR="00774CC3" w:rsidRDefault="00774CC3" w:rsidP="00774CC3">
      <w:pPr>
        <w:numPr>
          <w:ilvl w:val="1"/>
          <w:numId w:val="10"/>
        </w:numPr>
        <w:jc w:val="both"/>
        <w:rPr>
          <w:sz w:val="28"/>
          <w:szCs w:val="28"/>
        </w:rPr>
      </w:pPr>
      <w:r>
        <w:rPr>
          <w:sz w:val="28"/>
          <w:szCs w:val="28"/>
        </w:rPr>
        <w:t xml:space="preserve">The economic justification for the Hand formula is not just balancing expected costs (from the accident) to the certain costs (from the prevention) but also ensuring that the victim has taken due care. For some problems, it is cheaper for one party to prevent a problem than another party. This brings in </w:t>
      </w:r>
      <w:r w:rsidRPr="00774CC3">
        <w:rPr>
          <w:sz w:val="28"/>
          <w:szCs w:val="28"/>
        </w:rPr>
        <w:t>contributory negligence</w:t>
      </w:r>
      <w:r>
        <w:rPr>
          <w:sz w:val="28"/>
          <w:szCs w:val="28"/>
        </w:rPr>
        <w:t>.</w:t>
      </w:r>
    </w:p>
    <w:p w:rsidR="00774CC3" w:rsidRDefault="00774CC3" w:rsidP="00774CC3">
      <w:pPr>
        <w:numPr>
          <w:ilvl w:val="2"/>
          <w:numId w:val="10"/>
        </w:numPr>
        <w:jc w:val="both"/>
        <w:rPr>
          <w:sz w:val="28"/>
          <w:szCs w:val="28"/>
        </w:rPr>
      </w:pPr>
      <w:r>
        <w:rPr>
          <w:sz w:val="28"/>
          <w:szCs w:val="28"/>
        </w:rPr>
        <w:t xml:space="preserve">In </w:t>
      </w:r>
      <w:r>
        <w:rPr>
          <w:i/>
          <w:sz w:val="28"/>
          <w:szCs w:val="28"/>
        </w:rPr>
        <w:t>Butterfield v. Forrester</w:t>
      </w:r>
      <w:r>
        <w:rPr>
          <w:sz w:val="28"/>
          <w:szCs w:val="28"/>
        </w:rPr>
        <w:t xml:space="preserve"> (1809), Forrester placed a pole across the road while repairing his house. Another passage in the same direction—via a different street—was left free. At about eight, while still light out, Butterfield rides into the pole. Not only that, he was riding quite hard. He attempts to blame Forrester for the injuries. But the court rules in favor of Forrester since Butterfield acted recklessly.</w:t>
      </w:r>
    </w:p>
    <w:p w:rsidR="00774CC3" w:rsidRDefault="00477BA7" w:rsidP="00774CC3">
      <w:pPr>
        <w:numPr>
          <w:ilvl w:val="0"/>
          <w:numId w:val="10"/>
        </w:numPr>
        <w:jc w:val="both"/>
        <w:rPr>
          <w:sz w:val="28"/>
          <w:szCs w:val="28"/>
        </w:rPr>
      </w:pPr>
      <w:r>
        <w:rPr>
          <w:sz w:val="28"/>
          <w:szCs w:val="28"/>
        </w:rPr>
        <w:t>C</w:t>
      </w:r>
      <w:r w:rsidR="00774CC3">
        <w:rPr>
          <w:sz w:val="28"/>
          <w:szCs w:val="28"/>
        </w:rPr>
        <w:t>ontract</w:t>
      </w:r>
    </w:p>
    <w:p w:rsidR="00774CC3" w:rsidRDefault="00477BA7" w:rsidP="00774CC3">
      <w:pPr>
        <w:numPr>
          <w:ilvl w:val="1"/>
          <w:numId w:val="10"/>
        </w:numPr>
        <w:jc w:val="both"/>
        <w:rPr>
          <w:sz w:val="28"/>
          <w:szCs w:val="28"/>
        </w:rPr>
      </w:pPr>
      <w:r>
        <w:rPr>
          <w:sz w:val="28"/>
          <w:szCs w:val="28"/>
        </w:rPr>
        <w:t>Courts want contracts to mean something, so they like to enforce them even when it’s a bad decision for one of the parties. They do this only to encourage careful thought.</w:t>
      </w:r>
    </w:p>
    <w:p w:rsidR="006F4E6A" w:rsidRPr="006F4E6A" w:rsidRDefault="00477BA7" w:rsidP="006F4E6A">
      <w:pPr>
        <w:numPr>
          <w:ilvl w:val="1"/>
          <w:numId w:val="10"/>
        </w:numPr>
        <w:jc w:val="both"/>
        <w:rPr>
          <w:sz w:val="28"/>
          <w:szCs w:val="28"/>
        </w:rPr>
      </w:pPr>
      <w:r>
        <w:rPr>
          <w:sz w:val="28"/>
          <w:szCs w:val="28"/>
        </w:rPr>
        <w:t xml:space="preserve">But if the </w:t>
      </w:r>
      <w:r w:rsidR="00A759CF">
        <w:rPr>
          <w:sz w:val="28"/>
          <w:szCs w:val="28"/>
        </w:rPr>
        <w:t>court can undo such a</w:t>
      </w:r>
      <w:r>
        <w:rPr>
          <w:sz w:val="28"/>
          <w:szCs w:val="28"/>
        </w:rPr>
        <w:t xml:space="preserve"> contract without worrying about any moral hazard issue, it will do so.</w:t>
      </w:r>
    </w:p>
    <w:p w:rsidR="00A53B48" w:rsidRDefault="00A53B48" w:rsidP="00A53B48">
      <w:pPr>
        <w:ind w:left="1440"/>
        <w:jc w:val="both"/>
        <w:rPr>
          <w:sz w:val="28"/>
          <w:szCs w:val="28"/>
        </w:rPr>
      </w:pPr>
    </w:p>
    <w:tbl>
      <w:tblPr>
        <w:tblW w:w="0" w:type="auto"/>
        <w:jc w:val="center"/>
        <w:tblInd w:w="619" w:type="dxa"/>
        <w:tblBorders>
          <w:insideH w:val="single" w:sz="4" w:space="0" w:color="auto"/>
          <w:insideV w:val="single" w:sz="4" w:space="0" w:color="auto"/>
        </w:tblBorders>
        <w:tblLook w:val="04A0"/>
      </w:tblPr>
      <w:tblGrid>
        <w:gridCol w:w="1181"/>
        <w:gridCol w:w="1316"/>
        <w:gridCol w:w="1313"/>
        <w:gridCol w:w="1260"/>
      </w:tblGrid>
      <w:tr w:rsidR="006F4E6A" w:rsidRPr="006A09EA" w:rsidTr="001019E6">
        <w:trPr>
          <w:jc w:val="center"/>
        </w:trPr>
        <w:tc>
          <w:tcPr>
            <w:tcW w:w="5070" w:type="dxa"/>
            <w:gridSpan w:val="4"/>
            <w:tcBorders>
              <w:top w:val="nil"/>
              <w:bottom w:val="nil"/>
            </w:tcBorders>
            <w:vAlign w:val="center"/>
          </w:tcPr>
          <w:p w:rsidR="006F4E6A" w:rsidRPr="006F4E6A" w:rsidRDefault="00956E03" w:rsidP="00956E03">
            <w:pPr>
              <w:jc w:val="center"/>
              <w:rPr>
                <w:b/>
                <w:sz w:val="28"/>
                <w:szCs w:val="28"/>
              </w:rPr>
            </w:pPr>
            <w:r>
              <w:rPr>
                <w:b/>
                <w:sz w:val="28"/>
                <w:szCs w:val="28"/>
              </w:rPr>
              <w:t>Court Is Neutral</w:t>
            </w:r>
          </w:p>
        </w:tc>
      </w:tr>
      <w:tr w:rsidR="00A53B48" w:rsidRPr="006A09EA" w:rsidTr="001019E6">
        <w:trPr>
          <w:jc w:val="center"/>
        </w:trPr>
        <w:tc>
          <w:tcPr>
            <w:tcW w:w="2497" w:type="dxa"/>
            <w:gridSpan w:val="2"/>
            <w:vMerge w:val="restart"/>
            <w:tcBorders>
              <w:top w:val="nil"/>
              <w:bottom w:val="single" w:sz="4" w:space="0" w:color="auto"/>
            </w:tcBorders>
            <w:vAlign w:val="center"/>
          </w:tcPr>
          <w:p w:rsidR="00A53B48" w:rsidRPr="006A09EA" w:rsidRDefault="00A53B48" w:rsidP="00890D65">
            <w:pPr>
              <w:jc w:val="center"/>
              <w:rPr>
                <w:sz w:val="28"/>
                <w:szCs w:val="28"/>
              </w:rPr>
            </w:pPr>
          </w:p>
        </w:tc>
        <w:tc>
          <w:tcPr>
            <w:tcW w:w="2573" w:type="dxa"/>
            <w:gridSpan w:val="2"/>
            <w:tcBorders>
              <w:top w:val="nil"/>
            </w:tcBorders>
          </w:tcPr>
          <w:p w:rsidR="00A53B48" w:rsidRPr="00194B61" w:rsidRDefault="00A53B48" w:rsidP="00890D65">
            <w:pPr>
              <w:jc w:val="center"/>
              <w:rPr>
                <w:i/>
                <w:sz w:val="28"/>
                <w:szCs w:val="28"/>
              </w:rPr>
            </w:pPr>
            <w:r>
              <w:rPr>
                <w:i/>
                <w:sz w:val="28"/>
                <w:szCs w:val="28"/>
              </w:rPr>
              <w:t>Seller</w:t>
            </w:r>
          </w:p>
        </w:tc>
      </w:tr>
      <w:tr w:rsidR="00A53B48" w:rsidRPr="006A09EA" w:rsidTr="001019E6">
        <w:trPr>
          <w:jc w:val="center"/>
        </w:trPr>
        <w:tc>
          <w:tcPr>
            <w:tcW w:w="2497" w:type="dxa"/>
            <w:gridSpan w:val="2"/>
            <w:vMerge/>
            <w:tcBorders>
              <w:top w:val="single" w:sz="4" w:space="0" w:color="auto"/>
              <w:bottom w:val="single" w:sz="4" w:space="0" w:color="auto"/>
            </w:tcBorders>
          </w:tcPr>
          <w:p w:rsidR="00A53B48" w:rsidRPr="006A09EA" w:rsidRDefault="00A53B48" w:rsidP="00890D65">
            <w:pPr>
              <w:jc w:val="center"/>
              <w:rPr>
                <w:sz w:val="28"/>
                <w:szCs w:val="28"/>
              </w:rPr>
            </w:pPr>
          </w:p>
        </w:tc>
        <w:tc>
          <w:tcPr>
            <w:tcW w:w="1313" w:type="dxa"/>
          </w:tcPr>
          <w:p w:rsidR="00A53B48" w:rsidRPr="006A09EA" w:rsidRDefault="000B076A" w:rsidP="00890D65">
            <w:pPr>
              <w:jc w:val="center"/>
              <w:rPr>
                <w:sz w:val="28"/>
                <w:szCs w:val="28"/>
              </w:rPr>
            </w:pPr>
            <w:r>
              <w:rPr>
                <w:sz w:val="28"/>
                <w:szCs w:val="28"/>
              </w:rPr>
              <w:t>Ignorant</w:t>
            </w:r>
          </w:p>
        </w:tc>
        <w:tc>
          <w:tcPr>
            <w:tcW w:w="1260" w:type="dxa"/>
          </w:tcPr>
          <w:p w:rsidR="00A53B48" w:rsidRPr="006A09EA" w:rsidRDefault="000B076A" w:rsidP="00890D65">
            <w:pPr>
              <w:jc w:val="center"/>
              <w:rPr>
                <w:sz w:val="28"/>
                <w:szCs w:val="28"/>
              </w:rPr>
            </w:pPr>
            <w:r>
              <w:rPr>
                <w:sz w:val="28"/>
                <w:szCs w:val="28"/>
              </w:rPr>
              <w:t>Aware</w:t>
            </w:r>
          </w:p>
        </w:tc>
      </w:tr>
      <w:tr w:rsidR="00A53B48" w:rsidRPr="006A09EA" w:rsidTr="001019E6">
        <w:trPr>
          <w:jc w:val="center"/>
        </w:trPr>
        <w:tc>
          <w:tcPr>
            <w:tcW w:w="1181" w:type="dxa"/>
            <w:vMerge w:val="restart"/>
            <w:tcBorders>
              <w:top w:val="single" w:sz="4" w:space="0" w:color="auto"/>
            </w:tcBorders>
            <w:vAlign w:val="center"/>
          </w:tcPr>
          <w:p w:rsidR="00A53B48" w:rsidRPr="00194B61" w:rsidRDefault="00A53B48" w:rsidP="00890D65">
            <w:pPr>
              <w:jc w:val="center"/>
              <w:rPr>
                <w:i/>
                <w:sz w:val="28"/>
                <w:szCs w:val="28"/>
              </w:rPr>
            </w:pPr>
            <w:r>
              <w:rPr>
                <w:i/>
                <w:sz w:val="28"/>
                <w:szCs w:val="28"/>
              </w:rPr>
              <w:t>Buyer</w:t>
            </w:r>
          </w:p>
        </w:tc>
        <w:tc>
          <w:tcPr>
            <w:tcW w:w="1316" w:type="dxa"/>
            <w:tcBorders>
              <w:top w:val="single" w:sz="4" w:space="0" w:color="auto"/>
            </w:tcBorders>
          </w:tcPr>
          <w:p w:rsidR="00A53B48" w:rsidRPr="006A09EA" w:rsidRDefault="000B076A" w:rsidP="00890D65">
            <w:pPr>
              <w:jc w:val="right"/>
              <w:rPr>
                <w:sz w:val="28"/>
                <w:szCs w:val="28"/>
              </w:rPr>
            </w:pPr>
            <w:r>
              <w:rPr>
                <w:sz w:val="28"/>
                <w:szCs w:val="28"/>
              </w:rPr>
              <w:t>Ignorant</w:t>
            </w:r>
          </w:p>
        </w:tc>
        <w:tc>
          <w:tcPr>
            <w:tcW w:w="1313" w:type="dxa"/>
          </w:tcPr>
          <w:p w:rsidR="00A53B48" w:rsidRPr="006A09EA" w:rsidRDefault="006F4E6A" w:rsidP="00890D65">
            <w:pPr>
              <w:jc w:val="center"/>
              <w:rPr>
                <w:sz w:val="28"/>
                <w:szCs w:val="28"/>
              </w:rPr>
            </w:pPr>
            <w:r>
              <w:rPr>
                <w:sz w:val="28"/>
                <w:szCs w:val="28"/>
              </w:rPr>
              <w:t>0</w:t>
            </w:r>
            <w:r w:rsidR="000B076A">
              <w:rPr>
                <w:sz w:val="28"/>
                <w:szCs w:val="28"/>
              </w:rPr>
              <w:t>,</w:t>
            </w:r>
            <w:r>
              <w:rPr>
                <w:sz w:val="28"/>
                <w:szCs w:val="28"/>
              </w:rPr>
              <w:t>0</w:t>
            </w:r>
          </w:p>
        </w:tc>
        <w:tc>
          <w:tcPr>
            <w:tcW w:w="1260" w:type="dxa"/>
          </w:tcPr>
          <w:p w:rsidR="00A53B48" w:rsidRPr="006A09EA" w:rsidRDefault="000B076A" w:rsidP="009C7873">
            <w:pPr>
              <w:jc w:val="center"/>
              <w:rPr>
                <w:sz w:val="28"/>
                <w:szCs w:val="28"/>
              </w:rPr>
            </w:pPr>
            <w:r>
              <w:rPr>
                <w:sz w:val="28"/>
                <w:szCs w:val="28"/>
              </w:rPr>
              <w:t>-1,</w:t>
            </w:r>
            <w:r w:rsidR="009C7873">
              <w:rPr>
                <w:sz w:val="28"/>
                <w:szCs w:val="28"/>
              </w:rPr>
              <w:t>3</w:t>
            </w:r>
          </w:p>
        </w:tc>
      </w:tr>
      <w:tr w:rsidR="00A53B48" w:rsidRPr="006A09EA" w:rsidTr="00890D65">
        <w:trPr>
          <w:jc w:val="center"/>
        </w:trPr>
        <w:tc>
          <w:tcPr>
            <w:tcW w:w="1181" w:type="dxa"/>
            <w:vMerge/>
          </w:tcPr>
          <w:p w:rsidR="00A53B48" w:rsidRPr="006A09EA" w:rsidRDefault="00A53B48" w:rsidP="00890D65">
            <w:pPr>
              <w:jc w:val="center"/>
              <w:rPr>
                <w:sz w:val="28"/>
                <w:szCs w:val="28"/>
              </w:rPr>
            </w:pPr>
          </w:p>
        </w:tc>
        <w:tc>
          <w:tcPr>
            <w:tcW w:w="1316" w:type="dxa"/>
          </w:tcPr>
          <w:p w:rsidR="00A53B48" w:rsidRPr="006A09EA" w:rsidRDefault="000B076A" w:rsidP="00890D65">
            <w:pPr>
              <w:jc w:val="right"/>
              <w:rPr>
                <w:sz w:val="28"/>
                <w:szCs w:val="28"/>
              </w:rPr>
            </w:pPr>
            <w:r>
              <w:rPr>
                <w:sz w:val="28"/>
                <w:szCs w:val="28"/>
              </w:rPr>
              <w:t>Aware</w:t>
            </w:r>
          </w:p>
        </w:tc>
        <w:tc>
          <w:tcPr>
            <w:tcW w:w="1313" w:type="dxa"/>
          </w:tcPr>
          <w:p w:rsidR="00A53B48" w:rsidRPr="006A09EA" w:rsidRDefault="009C7873" w:rsidP="000B076A">
            <w:pPr>
              <w:jc w:val="center"/>
              <w:rPr>
                <w:sz w:val="28"/>
                <w:szCs w:val="28"/>
              </w:rPr>
            </w:pPr>
            <w:r>
              <w:rPr>
                <w:sz w:val="28"/>
                <w:szCs w:val="28"/>
              </w:rPr>
              <w:t>3</w:t>
            </w:r>
            <w:r w:rsidR="000B076A">
              <w:rPr>
                <w:sz w:val="28"/>
                <w:szCs w:val="28"/>
              </w:rPr>
              <w:t>,-1</w:t>
            </w:r>
          </w:p>
        </w:tc>
        <w:tc>
          <w:tcPr>
            <w:tcW w:w="1260" w:type="dxa"/>
          </w:tcPr>
          <w:p w:rsidR="00A53B48" w:rsidRPr="006A09EA" w:rsidRDefault="009C7873" w:rsidP="009C7873">
            <w:pPr>
              <w:jc w:val="center"/>
              <w:rPr>
                <w:sz w:val="28"/>
                <w:szCs w:val="28"/>
              </w:rPr>
            </w:pPr>
            <w:r>
              <w:rPr>
                <w:sz w:val="28"/>
                <w:szCs w:val="28"/>
              </w:rPr>
              <w:t>2</w:t>
            </w:r>
            <w:r w:rsidR="000B076A">
              <w:rPr>
                <w:sz w:val="28"/>
                <w:szCs w:val="28"/>
              </w:rPr>
              <w:t>,</w:t>
            </w:r>
            <w:r>
              <w:rPr>
                <w:sz w:val="28"/>
                <w:szCs w:val="28"/>
              </w:rPr>
              <w:t>2</w:t>
            </w:r>
          </w:p>
        </w:tc>
      </w:tr>
    </w:tbl>
    <w:p w:rsidR="00A53B48" w:rsidRDefault="00A53B48" w:rsidP="00A53B48">
      <w:pPr>
        <w:ind w:left="1440"/>
        <w:jc w:val="both"/>
        <w:rPr>
          <w:sz w:val="28"/>
          <w:szCs w:val="28"/>
        </w:rPr>
      </w:pPr>
    </w:p>
    <w:tbl>
      <w:tblPr>
        <w:tblW w:w="0" w:type="auto"/>
        <w:jc w:val="center"/>
        <w:tblInd w:w="619" w:type="dxa"/>
        <w:tblBorders>
          <w:insideH w:val="single" w:sz="4" w:space="0" w:color="auto"/>
          <w:insideV w:val="single" w:sz="4" w:space="0" w:color="auto"/>
        </w:tblBorders>
        <w:tblLook w:val="04A0"/>
      </w:tblPr>
      <w:tblGrid>
        <w:gridCol w:w="1181"/>
        <w:gridCol w:w="1316"/>
        <w:gridCol w:w="1313"/>
        <w:gridCol w:w="1260"/>
      </w:tblGrid>
      <w:tr w:rsidR="000B076A" w:rsidRPr="006A09EA" w:rsidTr="001019E6">
        <w:trPr>
          <w:jc w:val="center"/>
        </w:trPr>
        <w:tc>
          <w:tcPr>
            <w:tcW w:w="5070" w:type="dxa"/>
            <w:gridSpan w:val="4"/>
            <w:tcBorders>
              <w:top w:val="nil"/>
              <w:bottom w:val="nil"/>
            </w:tcBorders>
            <w:vAlign w:val="center"/>
          </w:tcPr>
          <w:p w:rsidR="000B076A" w:rsidRPr="000B076A" w:rsidRDefault="00956E03" w:rsidP="00890D65">
            <w:pPr>
              <w:jc w:val="center"/>
              <w:rPr>
                <w:b/>
                <w:sz w:val="28"/>
                <w:szCs w:val="28"/>
              </w:rPr>
            </w:pPr>
            <w:r>
              <w:rPr>
                <w:b/>
                <w:sz w:val="28"/>
                <w:szCs w:val="28"/>
              </w:rPr>
              <w:t xml:space="preserve">Court </w:t>
            </w:r>
            <w:r w:rsidR="006F4E6A">
              <w:rPr>
                <w:b/>
                <w:sz w:val="28"/>
                <w:szCs w:val="28"/>
              </w:rPr>
              <w:t>Side</w:t>
            </w:r>
            <w:r>
              <w:rPr>
                <w:b/>
                <w:sz w:val="28"/>
                <w:szCs w:val="28"/>
              </w:rPr>
              <w:t>s</w:t>
            </w:r>
            <w:r w:rsidR="006F4E6A">
              <w:rPr>
                <w:b/>
                <w:sz w:val="28"/>
                <w:szCs w:val="28"/>
              </w:rPr>
              <w:t xml:space="preserve"> With Buyer</w:t>
            </w:r>
          </w:p>
        </w:tc>
      </w:tr>
      <w:tr w:rsidR="000B076A" w:rsidRPr="006A09EA" w:rsidTr="001019E6">
        <w:trPr>
          <w:jc w:val="center"/>
        </w:trPr>
        <w:tc>
          <w:tcPr>
            <w:tcW w:w="2497" w:type="dxa"/>
            <w:gridSpan w:val="2"/>
            <w:vMerge w:val="restart"/>
            <w:tcBorders>
              <w:top w:val="nil"/>
              <w:bottom w:val="single" w:sz="4" w:space="0" w:color="auto"/>
            </w:tcBorders>
            <w:vAlign w:val="center"/>
          </w:tcPr>
          <w:p w:rsidR="000B076A" w:rsidRPr="006A09EA" w:rsidRDefault="000B076A" w:rsidP="00890D65">
            <w:pPr>
              <w:jc w:val="center"/>
              <w:rPr>
                <w:sz w:val="28"/>
                <w:szCs w:val="28"/>
              </w:rPr>
            </w:pPr>
          </w:p>
        </w:tc>
        <w:tc>
          <w:tcPr>
            <w:tcW w:w="2573" w:type="dxa"/>
            <w:gridSpan w:val="2"/>
            <w:tcBorders>
              <w:top w:val="nil"/>
            </w:tcBorders>
          </w:tcPr>
          <w:p w:rsidR="000B076A" w:rsidRPr="00194B61" w:rsidRDefault="000B076A" w:rsidP="00890D65">
            <w:pPr>
              <w:jc w:val="center"/>
              <w:rPr>
                <w:i/>
                <w:sz w:val="28"/>
                <w:szCs w:val="28"/>
              </w:rPr>
            </w:pPr>
            <w:r>
              <w:rPr>
                <w:i/>
                <w:sz w:val="28"/>
                <w:szCs w:val="28"/>
              </w:rPr>
              <w:t>Seller</w:t>
            </w:r>
          </w:p>
        </w:tc>
      </w:tr>
      <w:tr w:rsidR="000B076A" w:rsidRPr="006A09EA" w:rsidTr="000B076A">
        <w:trPr>
          <w:jc w:val="center"/>
        </w:trPr>
        <w:tc>
          <w:tcPr>
            <w:tcW w:w="2497" w:type="dxa"/>
            <w:gridSpan w:val="2"/>
            <w:vMerge/>
            <w:tcBorders>
              <w:top w:val="single" w:sz="4" w:space="0" w:color="auto"/>
              <w:bottom w:val="single" w:sz="4" w:space="0" w:color="auto"/>
            </w:tcBorders>
          </w:tcPr>
          <w:p w:rsidR="000B076A" w:rsidRPr="006A09EA" w:rsidRDefault="000B076A" w:rsidP="00890D65">
            <w:pPr>
              <w:jc w:val="center"/>
              <w:rPr>
                <w:sz w:val="28"/>
                <w:szCs w:val="28"/>
              </w:rPr>
            </w:pPr>
          </w:p>
        </w:tc>
        <w:tc>
          <w:tcPr>
            <w:tcW w:w="1313" w:type="dxa"/>
          </w:tcPr>
          <w:p w:rsidR="000B076A" w:rsidRPr="006A09EA" w:rsidRDefault="000B076A" w:rsidP="00890D65">
            <w:pPr>
              <w:jc w:val="center"/>
              <w:rPr>
                <w:sz w:val="28"/>
                <w:szCs w:val="28"/>
              </w:rPr>
            </w:pPr>
            <w:r>
              <w:rPr>
                <w:sz w:val="28"/>
                <w:szCs w:val="28"/>
              </w:rPr>
              <w:t>Ignorant</w:t>
            </w:r>
          </w:p>
        </w:tc>
        <w:tc>
          <w:tcPr>
            <w:tcW w:w="1260" w:type="dxa"/>
          </w:tcPr>
          <w:p w:rsidR="000B076A" w:rsidRPr="006A09EA" w:rsidRDefault="000B076A" w:rsidP="00890D65">
            <w:pPr>
              <w:jc w:val="center"/>
              <w:rPr>
                <w:sz w:val="28"/>
                <w:szCs w:val="28"/>
              </w:rPr>
            </w:pPr>
            <w:r>
              <w:rPr>
                <w:sz w:val="28"/>
                <w:szCs w:val="28"/>
              </w:rPr>
              <w:t>Aware</w:t>
            </w:r>
          </w:p>
        </w:tc>
      </w:tr>
      <w:tr w:rsidR="000B076A" w:rsidRPr="006A09EA" w:rsidTr="000B076A">
        <w:trPr>
          <w:jc w:val="center"/>
        </w:trPr>
        <w:tc>
          <w:tcPr>
            <w:tcW w:w="1181" w:type="dxa"/>
            <w:vMerge w:val="restart"/>
            <w:tcBorders>
              <w:top w:val="single" w:sz="4" w:space="0" w:color="auto"/>
            </w:tcBorders>
            <w:vAlign w:val="center"/>
          </w:tcPr>
          <w:p w:rsidR="000B076A" w:rsidRPr="00194B61" w:rsidRDefault="000B076A" w:rsidP="00890D65">
            <w:pPr>
              <w:jc w:val="center"/>
              <w:rPr>
                <w:i/>
                <w:sz w:val="28"/>
                <w:szCs w:val="28"/>
              </w:rPr>
            </w:pPr>
            <w:r>
              <w:rPr>
                <w:i/>
                <w:sz w:val="28"/>
                <w:szCs w:val="28"/>
              </w:rPr>
              <w:t>Buyer</w:t>
            </w:r>
          </w:p>
        </w:tc>
        <w:tc>
          <w:tcPr>
            <w:tcW w:w="1316" w:type="dxa"/>
            <w:tcBorders>
              <w:top w:val="single" w:sz="4" w:space="0" w:color="auto"/>
            </w:tcBorders>
          </w:tcPr>
          <w:p w:rsidR="000B076A" w:rsidRPr="006A09EA" w:rsidRDefault="000B076A" w:rsidP="00890D65">
            <w:pPr>
              <w:jc w:val="right"/>
              <w:rPr>
                <w:sz w:val="28"/>
                <w:szCs w:val="28"/>
              </w:rPr>
            </w:pPr>
            <w:r>
              <w:rPr>
                <w:sz w:val="28"/>
                <w:szCs w:val="28"/>
              </w:rPr>
              <w:t>Ignorant</w:t>
            </w:r>
          </w:p>
        </w:tc>
        <w:tc>
          <w:tcPr>
            <w:tcW w:w="1313" w:type="dxa"/>
          </w:tcPr>
          <w:p w:rsidR="000B076A" w:rsidRPr="006A09EA" w:rsidRDefault="006F4E6A" w:rsidP="006F4E6A">
            <w:pPr>
              <w:jc w:val="center"/>
              <w:rPr>
                <w:sz w:val="28"/>
                <w:szCs w:val="28"/>
              </w:rPr>
            </w:pPr>
            <w:r>
              <w:rPr>
                <w:sz w:val="28"/>
                <w:szCs w:val="28"/>
              </w:rPr>
              <w:t>0</w:t>
            </w:r>
            <w:r w:rsidR="000B076A">
              <w:rPr>
                <w:sz w:val="28"/>
                <w:szCs w:val="28"/>
              </w:rPr>
              <w:t>,</w:t>
            </w:r>
            <w:r>
              <w:rPr>
                <w:sz w:val="28"/>
                <w:szCs w:val="28"/>
              </w:rPr>
              <w:t>0</w:t>
            </w:r>
          </w:p>
        </w:tc>
        <w:tc>
          <w:tcPr>
            <w:tcW w:w="1260" w:type="dxa"/>
          </w:tcPr>
          <w:p w:rsidR="000B076A" w:rsidRPr="006A09EA" w:rsidRDefault="009C7873" w:rsidP="006F4E6A">
            <w:pPr>
              <w:jc w:val="center"/>
              <w:rPr>
                <w:sz w:val="28"/>
                <w:szCs w:val="28"/>
              </w:rPr>
            </w:pPr>
            <w:r>
              <w:rPr>
                <w:sz w:val="28"/>
                <w:szCs w:val="28"/>
              </w:rPr>
              <w:t>4</w:t>
            </w:r>
            <w:r w:rsidR="000B076A">
              <w:rPr>
                <w:sz w:val="28"/>
                <w:szCs w:val="28"/>
              </w:rPr>
              <w:t>,</w:t>
            </w:r>
            <w:r w:rsidR="006F4E6A">
              <w:rPr>
                <w:sz w:val="28"/>
                <w:szCs w:val="28"/>
              </w:rPr>
              <w:t>-2</w:t>
            </w:r>
          </w:p>
        </w:tc>
      </w:tr>
      <w:tr w:rsidR="000B076A" w:rsidRPr="006A09EA" w:rsidTr="00890D65">
        <w:trPr>
          <w:jc w:val="center"/>
        </w:trPr>
        <w:tc>
          <w:tcPr>
            <w:tcW w:w="1181" w:type="dxa"/>
            <w:vMerge/>
          </w:tcPr>
          <w:p w:rsidR="000B076A" w:rsidRPr="006A09EA" w:rsidRDefault="000B076A" w:rsidP="00890D65">
            <w:pPr>
              <w:jc w:val="center"/>
              <w:rPr>
                <w:sz w:val="28"/>
                <w:szCs w:val="28"/>
              </w:rPr>
            </w:pPr>
          </w:p>
        </w:tc>
        <w:tc>
          <w:tcPr>
            <w:tcW w:w="1316" w:type="dxa"/>
          </w:tcPr>
          <w:p w:rsidR="000B076A" w:rsidRPr="006A09EA" w:rsidRDefault="000B076A" w:rsidP="00890D65">
            <w:pPr>
              <w:jc w:val="right"/>
              <w:rPr>
                <w:sz w:val="28"/>
                <w:szCs w:val="28"/>
              </w:rPr>
            </w:pPr>
            <w:r>
              <w:rPr>
                <w:sz w:val="28"/>
                <w:szCs w:val="28"/>
              </w:rPr>
              <w:t>Aware</w:t>
            </w:r>
          </w:p>
        </w:tc>
        <w:tc>
          <w:tcPr>
            <w:tcW w:w="1313" w:type="dxa"/>
          </w:tcPr>
          <w:p w:rsidR="000B076A" w:rsidRPr="006A09EA" w:rsidRDefault="009C7873" w:rsidP="006F4E6A">
            <w:pPr>
              <w:jc w:val="center"/>
              <w:rPr>
                <w:sz w:val="28"/>
                <w:szCs w:val="28"/>
              </w:rPr>
            </w:pPr>
            <w:r>
              <w:rPr>
                <w:sz w:val="28"/>
                <w:szCs w:val="28"/>
              </w:rPr>
              <w:t>3</w:t>
            </w:r>
            <w:r w:rsidR="000B076A">
              <w:rPr>
                <w:sz w:val="28"/>
                <w:szCs w:val="28"/>
              </w:rPr>
              <w:t>,</w:t>
            </w:r>
            <w:r w:rsidR="00145208">
              <w:rPr>
                <w:sz w:val="28"/>
                <w:szCs w:val="28"/>
              </w:rPr>
              <w:t>-1</w:t>
            </w:r>
          </w:p>
        </w:tc>
        <w:tc>
          <w:tcPr>
            <w:tcW w:w="1260" w:type="dxa"/>
          </w:tcPr>
          <w:p w:rsidR="000B076A" w:rsidRPr="006A09EA" w:rsidRDefault="009C7873" w:rsidP="009C7873">
            <w:pPr>
              <w:jc w:val="center"/>
              <w:rPr>
                <w:sz w:val="28"/>
                <w:szCs w:val="28"/>
              </w:rPr>
            </w:pPr>
            <w:r>
              <w:rPr>
                <w:sz w:val="28"/>
                <w:szCs w:val="28"/>
              </w:rPr>
              <w:t>2</w:t>
            </w:r>
            <w:r w:rsidR="000B076A">
              <w:rPr>
                <w:sz w:val="28"/>
                <w:szCs w:val="28"/>
              </w:rPr>
              <w:t>,</w:t>
            </w:r>
            <w:r>
              <w:rPr>
                <w:sz w:val="28"/>
                <w:szCs w:val="28"/>
              </w:rPr>
              <w:t>2</w:t>
            </w:r>
          </w:p>
        </w:tc>
      </w:tr>
    </w:tbl>
    <w:p w:rsidR="000B076A" w:rsidRDefault="000B076A" w:rsidP="00A53B48">
      <w:pPr>
        <w:ind w:left="1440"/>
        <w:jc w:val="both"/>
        <w:rPr>
          <w:sz w:val="28"/>
          <w:szCs w:val="28"/>
        </w:rPr>
      </w:pPr>
    </w:p>
    <w:p w:rsidR="006F4E6A" w:rsidRDefault="006F4E6A" w:rsidP="006F4E6A">
      <w:pPr>
        <w:numPr>
          <w:ilvl w:val="2"/>
          <w:numId w:val="10"/>
        </w:numPr>
        <w:jc w:val="both"/>
        <w:rPr>
          <w:sz w:val="28"/>
          <w:szCs w:val="28"/>
        </w:rPr>
      </w:pPr>
      <w:r>
        <w:rPr>
          <w:sz w:val="28"/>
          <w:szCs w:val="28"/>
        </w:rPr>
        <w:t xml:space="preserve">In these games, I assume it cost 1 to be aware of the details of the exchange. If one party can utilize </w:t>
      </w:r>
      <w:proofErr w:type="gramStart"/>
      <w:r>
        <w:rPr>
          <w:sz w:val="28"/>
          <w:szCs w:val="28"/>
        </w:rPr>
        <w:t>an information</w:t>
      </w:r>
      <w:proofErr w:type="gramEnd"/>
      <w:r>
        <w:rPr>
          <w:sz w:val="28"/>
          <w:szCs w:val="28"/>
        </w:rPr>
        <w:t xml:space="preserve"> advantage, that party gets a payoff of </w:t>
      </w:r>
      <w:r w:rsidR="009C7873">
        <w:rPr>
          <w:sz w:val="28"/>
          <w:szCs w:val="28"/>
        </w:rPr>
        <w:t>4</w:t>
      </w:r>
      <w:r>
        <w:rPr>
          <w:sz w:val="28"/>
          <w:szCs w:val="28"/>
        </w:rPr>
        <w:t xml:space="preserve"> while the other loses 1. If both are ignorant, there is no exchange.</w:t>
      </w:r>
      <w:r w:rsidR="009C7873">
        <w:rPr>
          <w:rStyle w:val="FootnoteReference"/>
          <w:sz w:val="28"/>
          <w:szCs w:val="28"/>
        </w:rPr>
        <w:footnoteReference w:id="1"/>
      </w:r>
    </w:p>
    <w:p w:rsidR="00A53B48" w:rsidRDefault="00A53B48" w:rsidP="00774CC3">
      <w:pPr>
        <w:numPr>
          <w:ilvl w:val="1"/>
          <w:numId w:val="10"/>
        </w:numPr>
        <w:jc w:val="both"/>
        <w:rPr>
          <w:sz w:val="28"/>
          <w:szCs w:val="28"/>
        </w:rPr>
      </w:pPr>
      <w:proofErr w:type="spellStart"/>
      <w:r>
        <w:rPr>
          <w:sz w:val="28"/>
          <w:szCs w:val="28"/>
        </w:rPr>
        <w:t>Unenforcablity</w:t>
      </w:r>
      <w:proofErr w:type="spellEnd"/>
      <w:r w:rsidR="00145208">
        <w:rPr>
          <w:sz w:val="28"/>
          <w:szCs w:val="28"/>
        </w:rPr>
        <w:t>:</w:t>
      </w:r>
      <w:r w:rsidR="006F4E6A">
        <w:rPr>
          <w:sz w:val="28"/>
          <w:szCs w:val="28"/>
        </w:rPr>
        <w:t xml:space="preserve"> where the court rips up the contract.</w:t>
      </w:r>
    </w:p>
    <w:p w:rsidR="004349D5" w:rsidRDefault="00A759CF" w:rsidP="00A759CF">
      <w:pPr>
        <w:numPr>
          <w:ilvl w:val="2"/>
          <w:numId w:val="10"/>
        </w:numPr>
        <w:jc w:val="both"/>
        <w:rPr>
          <w:sz w:val="28"/>
          <w:szCs w:val="28"/>
        </w:rPr>
      </w:pPr>
      <w:r>
        <w:rPr>
          <w:sz w:val="28"/>
          <w:szCs w:val="28"/>
        </w:rPr>
        <w:t xml:space="preserve">In </w:t>
      </w:r>
      <w:r>
        <w:rPr>
          <w:i/>
          <w:sz w:val="28"/>
          <w:szCs w:val="28"/>
        </w:rPr>
        <w:t>Harris v. Tyson</w:t>
      </w:r>
      <w:r>
        <w:rPr>
          <w:sz w:val="28"/>
          <w:szCs w:val="28"/>
        </w:rPr>
        <w:t xml:space="preserve"> (1855), Tyson buys land from Harris knowing </w:t>
      </w:r>
      <w:r w:rsidR="004349D5">
        <w:rPr>
          <w:sz w:val="28"/>
          <w:szCs w:val="28"/>
        </w:rPr>
        <w:t>that it contained</w:t>
      </w:r>
      <w:r>
        <w:rPr>
          <w:sz w:val="28"/>
          <w:szCs w:val="28"/>
        </w:rPr>
        <w:t xml:space="preserve"> chrome</w:t>
      </w:r>
      <w:r w:rsidR="00A53B48">
        <w:rPr>
          <w:sz w:val="28"/>
          <w:szCs w:val="28"/>
        </w:rPr>
        <w:t xml:space="preserve"> deposits</w:t>
      </w:r>
      <w:r w:rsidR="004349D5">
        <w:rPr>
          <w:sz w:val="28"/>
          <w:szCs w:val="28"/>
        </w:rPr>
        <w:t xml:space="preserve">. Harris was ignorant of how valuable his land truly was and Tyson didn’t tell him. Upon discovery that he’s been taken, Harris sues Tyson. The court sides with Tyson stating, </w:t>
      </w:r>
    </w:p>
    <w:p w:rsidR="00A53B48" w:rsidRDefault="00A53B48" w:rsidP="00A53B48">
      <w:pPr>
        <w:ind w:left="2160"/>
        <w:jc w:val="both"/>
        <w:rPr>
          <w:sz w:val="28"/>
          <w:szCs w:val="28"/>
        </w:rPr>
      </w:pPr>
    </w:p>
    <w:p w:rsidR="00A759CF" w:rsidRPr="004349D5" w:rsidRDefault="004349D5" w:rsidP="004349D5">
      <w:pPr>
        <w:ind w:left="2880" w:right="720"/>
        <w:jc w:val="both"/>
      </w:pPr>
      <w:r w:rsidRPr="004349D5">
        <w:t>Every man must bear the loss of a bad bargain legally and honestly made. If not, he could not enjoy in safety the fruits of a good one. Besides, we do not feel sure that the contract has made the plaintiff any poorer, for it is not improbable that he would never have discovered the value of the mineral deposit…</w:t>
      </w:r>
    </w:p>
    <w:p w:rsidR="004349D5" w:rsidRDefault="004349D5" w:rsidP="004349D5">
      <w:pPr>
        <w:ind w:left="2160"/>
        <w:jc w:val="both"/>
        <w:rPr>
          <w:sz w:val="28"/>
          <w:szCs w:val="28"/>
        </w:rPr>
      </w:pPr>
    </w:p>
    <w:p w:rsidR="004349D5" w:rsidRDefault="004349D5" w:rsidP="004349D5">
      <w:pPr>
        <w:ind w:left="2160"/>
        <w:jc w:val="both"/>
        <w:rPr>
          <w:sz w:val="28"/>
          <w:szCs w:val="28"/>
        </w:rPr>
      </w:pPr>
      <w:r>
        <w:rPr>
          <w:sz w:val="28"/>
          <w:szCs w:val="28"/>
        </w:rPr>
        <w:t xml:space="preserve">By siding with Tyson, the court incentivizes people to make use of their knowledge. But </w:t>
      </w:r>
      <w:r w:rsidR="00A53B48">
        <w:rPr>
          <w:sz w:val="28"/>
          <w:szCs w:val="28"/>
        </w:rPr>
        <w:t>note</w:t>
      </w:r>
      <w:r>
        <w:rPr>
          <w:sz w:val="28"/>
          <w:szCs w:val="28"/>
        </w:rPr>
        <w:t xml:space="preserve"> this is a buyer “swindling” a seller; why would the opposite probably not have worked out the same way?</w:t>
      </w:r>
    </w:p>
    <w:p w:rsidR="00A759CF" w:rsidRDefault="00A759CF" w:rsidP="00A759CF">
      <w:pPr>
        <w:numPr>
          <w:ilvl w:val="2"/>
          <w:numId w:val="10"/>
        </w:numPr>
        <w:jc w:val="both"/>
        <w:rPr>
          <w:sz w:val="28"/>
          <w:szCs w:val="28"/>
        </w:rPr>
      </w:pPr>
      <w:r>
        <w:rPr>
          <w:sz w:val="28"/>
          <w:szCs w:val="28"/>
        </w:rPr>
        <w:t xml:space="preserve">In </w:t>
      </w:r>
      <w:r>
        <w:rPr>
          <w:i/>
          <w:sz w:val="28"/>
          <w:szCs w:val="28"/>
        </w:rPr>
        <w:t>Wilkin v. 1</w:t>
      </w:r>
      <w:r w:rsidRPr="00C416E7">
        <w:rPr>
          <w:i/>
          <w:sz w:val="28"/>
          <w:szCs w:val="28"/>
          <w:vertAlign w:val="superscript"/>
        </w:rPr>
        <w:t>st</w:t>
      </w:r>
      <w:r>
        <w:rPr>
          <w:i/>
          <w:sz w:val="28"/>
          <w:szCs w:val="28"/>
        </w:rPr>
        <w:t xml:space="preserve"> Source Bank</w:t>
      </w:r>
      <w:r>
        <w:rPr>
          <w:sz w:val="28"/>
          <w:szCs w:val="28"/>
        </w:rPr>
        <w:t xml:space="preserve"> (1990), a family buys a messy house once owned by the painter Ivan Mestrovic. As part of the deal, the family would clean the house on their own expense but be allowed to keep any possessions. Because of the extreme level of clutter, the family finds works of art the bank didn’t notice. Neither party knew any works of art would be inside. The family claimed ownership of the art and the bank challenged; because there was no meeting of minds, the court sides with the bank. A house with art is fundamentally different </w:t>
      </w:r>
      <w:r>
        <w:rPr>
          <w:sz w:val="28"/>
          <w:szCs w:val="28"/>
        </w:rPr>
        <w:lastRenderedPageBreak/>
        <w:t xml:space="preserve">than a house without art; what the parties were bargaining on doesn’t technically exist. </w:t>
      </w:r>
    </w:p>
    <w:p w:rsidR="00477BA7" w:rsidRDefault="00A53B48" w:rsidP="00774CC3">
      <w:pPr>
        <w:numPr>
          <w:ilvl w:val="1"/>
          <w:numId w:val="10"/>
        </w:numPr>
        <w:jc w:val="both"/>
        <w:rPr>
          <w:sz w:val="28"/>
          <w:szCs w:val="28"/>
        </w:rPr>
      </w:pPr>
      <w:r>
        <w:rPr>
          <w:sz w:val="28"/>
          <w:szCs w:val="28"/>
        </w:rPr>
        <w:t>Efficient breach</w:t>
      </w:r>
      <w:r w:rsidR="00145208">
        <w:rPr>
          <w:sz w:val="28"/>
          <w:szCs w:val="28"/>
        </w:rPr>
        <w:t>:</w:t>
      </w:r>
      <w:r w:rsidR="006F4E6A">
        <w:rPr>
          <w:sz w:val="28"/>
          <w:szCs w:val="28"/>
        </w:rPr>
        <w:t xml:space="preserve"> the court says the contract is </w:t>
      </w:r>
      <w:r w:rsidR="00564716">
        <w:rPr>
          <w:sz w:val="28"/>
          <w:szCs w:val="28"/>
        </w:rPr>
        <w:t>valid</w:t>
      </w:r>
      <w:r w:rsidR="006F4E6A">
        <w:rPr>
          <w:sz w:val="28"/>
          <w:szCs w:val="28"/>
        </w:rPr>
        <w:t>, but in this circumstance it is fine to breach it.</w:t>
      </w:r>
    </w:p>
    <w:p w:rsidR="00A53B48" w:rsidRDefault="00A53B48" w:rsidP="00A53B48">
      <w:pPr>
        <w:numPr>
          <w:ilvl w:val="2"/>
          <w:numId w:val="10"/>
        </w:numPr>
        <w:jc w:val="both"/>
        <w:rPr>
          <w:sz w:val="28"/>
          <w:szCs w:val="28"/>
        </w:rPr>
      </w:pPr>
      <w:r>
        <w:rPr>
          <w:sz w:val="28"/>
          <w:szCs w:val="28"/>
        </w:rPr>
        <w:t xml:space="preserve">In </w:t>
      </w:r>
      <w:r w:rsidR="009C7873">
        <w:rPr>
          <w:i/>
          <w:sz w:val="28"/>
          <w:szCs w:val="28"/>
        </w:rPr>
        <w:t>Eastern S.S. Lines v. United States</w:t>
      </w:r>
      <w:r w:rsidR="009C7873">
        <w:rPr>
          <w:sz w:val="28"/>
          <w:szCs w:val="28"/>
        </w:rPr>
        <w:t xml:space="preserve"> (1953), the defendant was under contract to restore</w:t>
      </w:r>
      <w:r w:rsidR="00AD3FAE">
        <w:rPr>
          <w:sz w:val="28"/>
          <w:szCs w:val="28"/>
        </w:rPr>
        <w:t xml:space="preserve"> a ship owned by the plaintiff, a contract established in 1942. After the war, the cost of labor has increased so much, and the value of restored ships fell so much, that it would cost more to restore the ship than the ship was worth. The government refused to pay for restoration and the court agreed.</w:t>
      </w:r>
    </w:p>
    <w:p w:rsidR="00AD3FAE" w:rsidRDefault="00AD3FAE" w:rsidP="00AD3FAE">
      <w:pPr>
        <w:ind w:left="2160"/>
        <w:jc w:val="both"/>
        <w:rPr>
          <w:sz w:val="28"/>
          <w:szCs w:val="28"/>
        </w:rPr>
      </w:pPr>
    </w:p>
    <w:p w:rsidR="00AD3FAE" w:rsidRPr="00AD3FAE" w:rsidRDefault="00AD3FAE" w:rsidP="00AD3FAE">
      <w:pPr>
        <w:ind w:left="2880" w:right="720"/>
        <w:jc w:val="both"/>
      </w:pPr>
      <w:r w:rsidRPr="00AD3FAE">
        <w:t>…neither party anticipated…that the market for old ships one the one hand, and the market for labor and materials, one the other, would be such as to make the restoration of old ships a useless and wasteful expenditure of public funds.</w:t>
      </w:r>
    </w:p>
    <w:p w:rsidR="00AD3FAE" w:rsidRDefault="00AD3FAE" w:rsidP="00AD3FAE">
      <w:pPr>
        <w:ind w:left="2160"/>
        <w:jc w:val="both"/>
        <w:rPr>
          <w:sz w:val="28"/>
          <w:szCs w:val="28"/>
        </w:rPr>
      </w:pPr>
    </w:p>
    <w:p w:rsidR="00AD3FAE" w:rsidRDefault="00AD3FAE" w:rsidP="00A53B48">
      <w:pPr>
        <w:numPr>
          <w:ilvl w:val="2"/>
          <w:numId w:val="10"/>
        </w:numPr>
        <w:jc w:val="both"/>
        <w:rPr>
          <w:sz w:val="28"/>
          <w:szCs w:val="28"/>
        </w:rPr>
      </w:pPr>
      <w:r>
        <w:rPr>
          <w:sz w:val="28"/>
          <w:szCs w:val="28"/>
        </w:rPr>
        <w:t xml:space="preserve">In </w:t>
      </w:r>
      <w:r w:rsidR="00C40417">
        <w:rPr>
          <w:i/>
          <w:sz w:val="28"/>
          <w:szCs w:val="28"/>
        </w:rPr>
        <w:t>Transatlantic Financing Corporation v. United States</w:t>
      </w:r>
      <w:r w:rsidR="00C40417">
        <w:rPr>
          <w:sz w:val="28"/>
          <w:szCs w:val="28"/>
        </w:rPr>
        <w:t xml:space="preserve"> (1966), </w:t>
      </w:r>
      <w:r w:rsidR="009C0F52">
        <w:rPr>
          <w:sz w:val="28"/>
          <w:szCs w:val="28"/>
        </w:rPr>
        <w:t xml:space="preserve">the US government contracted the plaintiff to ship wheat from Texas to Iran. The plaintiff planned to send the ship through the Suez Canal to get there. In 1956, war broke out and the Suez </w:t>
      </w:r>
      <w:r w:rsidR="00855E54">
        <w:rPr>
          <w:sz w:val="28"/>
          <w:szCs w:val="28"/>
        </w:rPr>
        <w:t>Canal</w:t>
      </w:r>
      <w:r w:rsidR="009C0F52">
        <w:rPr>
          <w:sz w:val="28"/>
          <w:szCs w:val="28"/>
        </w:rPr>
        <w:t xml:space="preserve"> shut down. </w:t>
      </w:r>
      <w:r w:rsidR="00855E54">
        <w:rPr>
          <w:sz w:val="28"/>
          <w:szCs w:val="28"/>
        </w:rPr>
        <w:t>The plaintiff claims it is now not commercially practical to deliver the wheat</w:t>
      </w:r>
      <w:r w:rsidR="00564716">
        <w:rPr>
          <w:sz w:val="28"/>
          <w:szCs w:val="28"/>
        </w:rPr>
        <w:t xml:space="preserve"> and thus doesn’t have to</w:t>
      </w:r>
      <w:r w:rsidR="00855E54">
        <w:rPr>
          <w:sz w:val="28"/>
          <w:szCs w:val="28"/>
        </w:rPr>
        <w:t xml:space="preserve">. </w:t>
      </w:r>
      <w:r w:rsidR="00564716">
        <w:rPr>
          <w:sz w:val="28"/>
          <w:szCs w:val="28"/>
        </w:rPr>
        <w:t>However, because the political turmoil in Egypt at the time (including the nationalization of the Canal) was known when the contract was made, this was not an unforeseeable change. The court sides with the defendant.</w:t>
      </w:r>
    </w:p>
    <w:sectPr w:rsidR="00AD3FAE"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473" w:rsidRDefault="00916473" w:rsidP="0091092C">
      <w:r>
        <w:separator/>
      </w:r>
    </w:p>
  </w:endnote>
  <w:endnote w:type="continuationSeparator" w:id="0">
    <w:p w:rsidR="00916473" w:rsidRDefault="00916473"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473" w:rsidRDefault="00916473" w:rsidP="0091092C">
      <w:r>
        <w:separator/>
      </w:r>
    </w:p>
  </w:footnote>
  <w:footnote w:type="continuationSeparator" w:id="0">
    <w:p w:rsidR="00916473" w:rsidRDefault="00916473" w:rsidP="0091092C">
      <w:r>
        <w:continuationSeparator/>
      </w:r>
    </w:p>
  </w:footnote>
  <w:footnote w:id="1">
    <w:p w:rsidR="009C7873" w:rsidRDefault="009C7873">
      <w:pPr>
        <w:pStyle w:val="FootnoteText"/>
      </w:pPr>
      <w:r>
        <w:rPr>
          <w:rStyle w:val="FootnoteReference"/>
        </w:rPr>
        <w:footnoteRef/>
      </w:r>
      <w:r>
        <w:t xml:space="preserve"> You could play an alternative game where if both are ignorant, each gets 1 (in the first game) to reflect a poorly thought out exchange. In the second game, that will change to 4,-1; the result will be the same. It should be noted that this is a game I’ve made up for class. I was unable to find an established example reflecting this idea.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6F1E463C"/>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5FA6C12A"/>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3870"/>
    <w:rsid w:val="000546F9"/>
    <w:rsid w:val="00072982"/>
    <w:rsid w:val="00080E5E"/>
    <w:rsid w:val="00085064"/>
    <w:rsid w:val="00092F13"/>
    <w:rsid w:val="000B076A"/>
    <w:rsid w:val="000B5B5E"/>
    <w:rsid w:val="000C0631"/>
    <w:rsid w:val="000C41DA"/>
    <w:rsid w:val="000D65D0"/>
    <w:rsid w:val="000E1606"/>
    <w:rsid w:val="000F23E2"/>
    <w:rsid w:val="000F5D17"/>
    <w:rsid w:val="000F5E8C"/>
    <w:rsid w:val="001019E6"/>
    <w:rsid w:val="001047B1"/>
    <w:rsid w:val="0011105C"/>
    <w:rsid w:val="00126389"/>
    <w:rsid w:val="00131B9A"/>
    <w:rsid w:val="001442E1"/>
    <w:rsid w:val="00145208"/>
    <w:rsid w:val="0018292E"/>
    <w:rsid w:val="00183635"/>
    <w:rsid w:val="00194B61"/>
    <w:rsid w:val="001A1635"/>
    <w:rsid w:val="001A5392"/>
    <w:rsid w:val="001B7AD5"/>
    <w:rsid w:val="001C57A9"/>
    <w:rsid w:val="001D66AD"/>
    <w:rsid w:val="00213E47"/>
    <w:rsid w:val="00214B9B"/>
    <w:rsid w:val="0021548C"/>
    <w:rsid w:val="00221C16"/>
    <w:rsid w:val="002227C2"/>
    <w:rsid w:val="00224D3B"/>
    <w:rsid w:val="00230AD3"/>
    <w:rsid w:val="0023223C"/>
    <w:rsid w:val="00267A57"/>
    <w:rsid w:val="0027341C"/>
    <w:rsid w:val="00284FB0"/>
    <w:rsid w:val="0029497B"/>
    <w:rsid w:val="002C433F"/>
    <w:rsid w:val="002D5E0B"/>
    <w:rsid w:val="002F4714"/>
    <w:rsid w:val="002F6904"/>
    <w:rsid w:val="0030575F"/>
    <w:rsid w:val="00321845"/>
    <w:rsid w:val="003225D1"/>
    <w:rsid w:val="00322F14"/>
    <w:rsid w:val="00325423"/>
    <w:rsid w:val="00327BAD"/>
    <w:rsid w:val="003324EC"/>
    <w:rsid w:val="0034663A"/>
    <w:rsid w:val="00351FB1"/>
    <w:rsid w:val="003545D4"/>
    <w:rsid w:val="00365D10"/>
    <w:rsid w:val="003665A7"/>
    <w:rsid w:val="00375313"/>
    <w:rsid w:val="00381120"/>
    <w:rsid w:val="003824EC"/>
    <w:rsid w:val="003A0014"/>
    <w:rsid w:val="003A07AF"/>
    <w:rsid w:val="003A20A3"/>
    <w:rsid w:val="003A2701"/>
    <w:rsid w:val="003A2FEA"/>
    <w:rsid w:val="003B26EC"/>
    <w:rsid w:val="003D5264"/>
    <w:rsid w:val="003D7FA5"/>
    <w:rsid w:val="003F1F09"/>
    <w:rsid w:val="003F3490"/>
    <w:rsid w:val="0041509F"/>
    <w:rsid w:val="0041563D"/>
    <w:rsid w:val="00417F6A"/>
    <w:rsid w:val="00420612"/>
    <w:rsid w:val="00422B75"/>
    <w:rsid w:val="004349D5"/>
    <w:rsid w:val="004412CC"/>
    <w:rsid w:val="0044253E"/>
    <w:rsid w:val="00450958"/>
    <w:rsid w:val="004514B8"/>
    <w:rsid w:val="00475213"/>
    <w:rsid w:val="00477BA7"/>
    <w:rsid w:val="0048489C"/>
    <w:rsid w:val="004A5425"/>
    <w:rsid w:val="004A6878"/>
    <w:rsid w:val="004D4478"/>
    <w:rsid w:val="004E1265"/>
    <w:rsid w:val="004E4C74"/>
    <w:rsid w:val="00501750"/>
    <w:rsid w:val="005270F8"/>
    <w:rsid w:val="00527EBA"/>
    <w:rsid w:val="00532971"/>
    <w:rsid w:val="00532D83"/>
    <w:rsid w:val="005444F5"/>
    <w:rsid w:val="005511CC"/>
    <w:rsid w:val="00556826"/>
    <w:rsid w:val="005573A7"/>
    <w:rsid w:val="00564716"/>
    <w:rsid w:val="00564AF0"/>
    <w:rsid w:val="0057330C"/>
    <w:rsid w:val="005C16C3"/>
    <w:rsid w:val="005D5880"/>
    <w:rsid w:val="005E2664"/>
    <w:rsid w:val="005E514F"/>
    <w:rsid w:val="005F1832"/>
    <w:rsid w:val="005F3389"/>
    <w:rsid w:val="00600BCF"/>
    <w:rsid w:val="00603AEF"/>
    <w:rsid w:val="00605604"/>
    <w:rsid w:val="0061283A"/>
    <w:rsid w:val="006133CA"/>
    <w:rsid w:val="00615EB0"/>
    <w:rsid w:val="00630FBD"/>
    <w:rsid w:val="00635CAE"/>
    <w:rsid w:val="0064058B"/>
    <w:rsid w:val="006413D8"/>
    <w:rsid w:val="00642716"/>
    <w:rsid w:val="00672C36"/>
    <w:rsid w:val="00683066"/>
    <w:rsid w:val="006861A9"/>
    <w:rsid w:val="006953BF"/>
    <w:rsid w:val="00697419"/>
    <w:rsid w:val="006A0B2F"/>
    <w:rsid w:val="006B53C9"/>
    <w:rsid w:val="006D1BBE"/>
    <w:rsid w:val="006D2A32"/>
    <w:rsid w:val="006D2F6F"/>
    <w:rsid w:val="006E3900"/>
    <w:rsid w:val="006F4E6A"/>
    <w:rsid w:val="00701CE2"/>
    <w:rsid w:val="007313D8"/>
    <w:rsid w:val="007528CB"/>
    <w:rsid w:val="007620E4"/>
    <w:rsid w:val="00774CC3"/>
    <w:rsid w:val="00793437"/>
    <w:rsid w:val="00793DD5"/>
    <w:rsid w:val="007A32B3"/>
    <w:rsid w:val="007C4B16"/>
    <w:rsid w:val="007C6C15"/>
    <w:rsid w:val="007D2E94"/>
    <w:rsid w:val="007D5964"/>
    <w:rsid w:val="00801A77"/>
    <w:rsid w:val="0080446A"/>
    <w:rsid w:val="00815471"/>
    <w:rsid w:val="0082225C"/>
    <w:rsid w:val="00851A54"/>
    <w:rsid w:val="00854733"/>
    <w:rsid w:val="00855E54"/>
    <w:rsid w:val="008673CF"/>
    <w:rsid w:val="008A5906"/>
    <w:rsid w:val="008C373C"/>
    <w:rsid w:val="008D46E0"/>
    <w:rsid w:val="008D6ABC"/>
    <w:rsid w:val="008F20E0"/>
    <w:rsid w:val="008F344F"/>
    <w:rsid w:val="008F6F29"/>
    <w:rsid w:val="0090275F"/>
    <w:rsid w:val="00905C44"/>
    <w:rsid w:val="0091092C"/>
    <w:rsid w:val="00916473"/>
    <w:rsid w:val="00942B56"/>
    <w:rsid w:val="00956935"/>
    <w:rsid w:val="00956E03"/>
    <w:rsid w:val="00957C36"/>
    <w:rsid w:val="009744A0"/>
    <w:rsid w:val="00980B9A"/>
    <w:rsid w:val="009A1D5C"/>
    <w:rsid w:val="009C0F52"/>
    <w:rsid w:val="009C718C"/>
    <w:rsid w:val="009C7873"/>
    <w:rsid w:val="009D7FBB"/>
    <w:rsid w:val="009E2D37"/>
    <w:rsid w:val="009E3FE5"/>
    <w:rsid w:val="009F61AE"/>
    <w:rsid w:val="00A00465"/>
    <w:rsid w:val="00A05452"/>
    <w:rsid w:val="00A1657E"/>
    <w:rsid w:val="00A43F5D"/>
    <w:rsid w:val="00A53B48"/>
    <w:rsid w:val="00A759CF"/>
    <w:rsid w:val="00A75A43"/>
    <w:rsid w:val="00A774DE"/>
    <w:rsid w:val="00A90190"/>
    <w:rsid w:val="00A91E7C"/>
    <w:rsid w:val="00A9444C"/>
    <w:rsid w:val="00AC3BA5"/>
    <w:rsid w:val="00AD3FAE"/>
    <w:rsid w:val="00AF3477"/>
    <w:rsid w:val="00B21A94"/>
    <w:rsid w:val="00B238D1"/>
    <w:rsid w:val="00B26FD3"/>
    <w:rsid w:val="00B416CC"/>
    <w:rsid w:val="00B44A21"/>
    <w:rsid w:val="00B61CF9"/>
    <w:rsid w:val="00B64976"/>
    <w:rsid w:val="00BB2075"/>
    <w:rsid w:val="00BD075E"/>
    <w:rsid w:val="00BD302A"/>
    <w:rsid w:val="00BF59E5"/>
    <w:rsid w:val="00C047B6"/>
    <w:rsid w:val="00C07E4E"/>
    <w:rsid w:val="00C155D2"/>
    <w:rsid w:val="00C2289A"/>
    <w:rsid w:val="00C342EB"/>
    <w:rsid w:val="00C40417"/>
    <w:rsid w:val="00C43178"/>
    <w:rsid w:val="00C4412C"/>
    <w:rsid w:val="00C44598"/>
    <w:rsid w:val="00C477A3"/>
    <w:rsid w:val="00C866B4"/>
    <w:rsid w:val="00CC326E"/>
    <w:rsid w:val="00CF3D77"/>
    <w:rsid w:val="00CF5BD3"/>
    <w:rsid w:val="00D016FB"/>
    <w:rsid w:val="00D02F88"/>
    <w:rsid w:val="00D11517"/>
    <w:rsid w:val="00D2104D"/>
    <w:rsid w:val="00D31342"/>
    <w:rsid w:val="00D45536"/>
    <w:rsid w:val="00D5244F"/>
    <w:rsid w:val="00D53C1F"/>
    <w:rsid w:val="00D6238A"/>
    <w:rsid w:val="00D643EC"/>
    <w:rsid w:val="00D654DF"/>
    <w:rsid w:val="00D86CD6"/>
    <w:rsid w:val="00D941A7"/>
    <w:rsid w:val="00D95AE8"/>
    <w:rsid w:val="00DA5809"/>
    <w:rsid w:val="00DC2712"/>
    <w:rsid w:val="00DC4221"/>
    <w:rsid w:val="00DD1D04"/>
    <w:rsid w:val="00DD7664"/>
    <w:rsid w:val="00E00D8A"/>
    <w:rsid w:val="00E010EF"/>
    <w:rsid w:val="00E074D7"/>
    <w:rsid w:val="00E26695"/>
    <w:rsid w:val="00E30BD1"/>
    <w:rsid w:val="00E4081E"/>
    <w:rsid w:val="00E55A25"/>
    <w:rsid w:val="00E70F92"/>
    <w:rsid w:val="00E82D66"/>
    <w:rsid w:val="00E87F3D"/>
    <w:rsid w:val="00EB4587"/>
    <w:rsid w:val="00ED1EFD"/>
    <w:rsid w:val="00ED2DB2"/>
    <w:rsid w:val="00ED7FCD"/>
    <w:rsid w:val="00EE0AE2"/>
    <w:rsid w:val="00EF017C"/>
    <w:rsid w:val="00EF7FDC"/>
    <w:rsid w:val="00F02D1F"/>
    <w:rsid w:val="00F02F52"/>
    <w:rsid w:val="00F059F7"/>
    <w:rsid w:val="00F1609A"/>
    <w:rsid w:val="00F22596"/>
    <w:rsid w:val="00F47E3B"/>
    <w:rsid w:val="00F519BD"/>
    <w:rsid w:val="00F63688"/>
    <w:rsid w:val="00F72EBD"/>
    <w:rsid w:val="00F80C80"/>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 w:type="character" w:customStyle="1" w:styleId="apple-style-span">
    <w:name w:val="apple-style-span"/>
    <w:basedOn w:val="DefaultParagraphFont"/>
    <w:rsid w:val="008D46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4D29-C2A0-483D-B548-E7EDCA94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1514</Words>
  <Characters>7041</Characters>
  <Application>Microsoft Office Word</Application>
  <DocSecurity>0</DocSecurity>
  <Lines>234</Lines>
  <Paragraphs>118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cp:revision>
  <dcterms:created xsi:type="dcterms:W3CDTF">2012-12-23T05:57:00Z</dcterms:created>
  <dcterms:modified xsi:type="dcterms:W3CDTF">2013-03-04T02:38:00Z</dcterms:modified>
</cp:coreProperties>
</file>