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43C" w:rsidRDefault="0081043C" w:rsidP="0081043C">
      <w:pPr>
        <w:jc w:val="both"/>
      </w:pPr>
      <w:r>
        <w:t>David Youngberg</w:t>
      </w:r>
    </w:p>
    <w:p w:rsidR="0081043C" w:rsidRDefault="0081043C" w:rsidP="0081043C">
      <w:pPr>
        <w:jc w:val="both"/>
      </w:pPr>
      <w:r>
        <w:t>Econ 304—Bethany College</w:t>
      </w:r>
    </w:p>
    <w:p w:rsidR="0081043C" w:rsidRDefault="0081043C" w:rsidP="0081043C">
      <w:pPr>
        <w:jc w:val="both"/>
      </w:pPr>
    </w:p>
    <w:p w:rsidR="0081043C" w:rsidRPr="00E26695" w:rsidRDefault="0081043C" w:rsidP="0081043C">
      <w:pPr>
        <w:jc w:val="center"/>
        <w:rPr>
          <w:b/>
          <w:smallCaps/>
          <w:sz w:val="32"/>
          <w:szCs w:val="32"/>
        </w:rPr>
      </w:pPr>
      <w:r>
        <w:rPr>
          <w:b/>
          <w:smallCaps/>
          <w:sz w:val="32"/>
          <w:szCs w:val="32"/>
        </w:rPr>
        <w:t>Lecture</w:t>
      </w:r>
      <w:r w:rsidRPr="00E26695">
        <w:rPr>
          <w:b/>
          <w:smallCaps/>
          <w:sz w:val="32"/>
          <w:szCs w:val="32"/>
        </w:rPr>
        <w:t xml:space="preserve"> </w:t>
      </w:r>
      <w:r>
        <w:rPr>
          <w:b/>
          <w:smallCaps/>
          <w:sz w:val="32"/>
          <w:szCs w:val="32"/>
        </w:rPr>
        <w:t>2</w:t>
      </w:r>
      <w:r w:rsidR="00197310">
        <w:rPr>
          <w:b/>
          <w:smallCaps/>
          <w:sz w:val="32"/>
          <w:szCs w:val="32"/>
        </w:rPr>
        <w:t>7</w:t>
      </w:r>
      <w:r>
        <w:rPr>
          <w:b/>
          <w:smallCaps/>
          <w:sz w:val="32"/>
          <w:szCs w:val="32"/>
        </w:rPr>
        <w:t>: CAPM and Risk Premium</w:t>
      </w:r>
    </w:p>
    <w:p w:rsidR="0081043C" w:rsidRDefault="0081043C" w:rsidP="0081043C">
      <w:pPr>
        <w:jc w:val="center"/>
      </w:pPr>
    </w:p>
    <w:p w:rsidR="0081043C" w:rsidRDefault="0081043C" w:rsidP="0081043C">
      <w:pPr>
        <w:numPr>
          <w:ilvl w:val="0"/>
          <w:numId w:val="2"/>
        </w:numPr>
        <w:jc w:val="both"/>
        <w:rPr>
          <w:sz w:val="28"/>
          <w:szCs w:val="28"/>
        </w:rPr>
      </w:pPr>
      <w:r>
        <w:rPr>
          <w:sz w:val="28"/>
          <w:szCs w:val="28"/>
        </w:rPr>
        <w:t>Fixed payment loans</w:t>
      </w:r>
    </w:p>
    <w:p w:rsidR="004051B8" w:rsidRDefault="004051B8" w:rsidP="0081043C">
      <w:pPr>
        <w:numPr>
          <w:ilvl w:val="1"/>
          <w:numId w:val="2"/>
        </w:numPr>
        <w:jc w:val="both"/>
        <w:rPr>
          <w:sz w:val="28"/>
          <w:szCs w:val="28"/>
        </w:rPr>
      </w:pPr>
      <w:r>
        <w:rPr>
          <w:sz w:val="28"/>
          <w:szCs w:val="28"/>
        </w:rPr>
        <w:t xml:space="preserve">Here’s a quick application from </w:t>
      </w:r>
      <w:r w:rsidR="007F03FF">
        <w:rPr>
          <w:sz w:val="28"/>
          <w:szCs w:val="28"/>
        </w:rPr>
        <w:t>earlier in the course</w:t>
      </w:r>
      <w:r>
        <w:rPr>
          <w:sz w:val="28"/>
          <w:szCs w:val="28"/>
        </w:rPr>
        <w:t xml:space="preserve">: Why a </w:t>
      </w:r>
      <w:r w:rsidR="00946CE7">
        <w:rPr>
          <w:sz w:val="28"/>
          <w:szCs w:val="28"/>
        </w:rPr>
        <w:t>mortgage</w:t>
      </w:r>
      <w:r>
        <w:rPr>
          <w:sz w:val="28"/>
          <w:szCs w:val="28"/>
        </w:rPr>
        <w:t xml:space="preserve"> is really expensive.</w:t>
      </w:r>
    </w:p>
    <w:p w:rsidR="0081043C" w:rsidRDefault="0081043C" w:rsidP="0081043C">
      <w:pPr>
        <w:numPr>
          <w:ilvl w:val="1"/>
          <w:numId w:val="2"/>
        </w:numPr>
        <w:jc w:val="both"/>
        <w:rPr>
          <w:sz w:val="28"/>
          <w:szCs w:val="28"/>
        </w:rPr>
      </w:pPr>
      <w:r>
        <w:rPr>
          <w:sz w:val="28"/>
          <w:szCs w:val="28"/>
        </w:rPr>
        <w:t xml:space="preserve">The </w:t>
      </w:r>
      <w:r>
        <w:rPr>
          <w:i/>
          <w:sz w:val="28"/>
          <w:szCs w:val="28"/>
        </w:rPr>
        <w:t>yield to maturity</w:t>
      </w:r>
      <w:r>
        <w:rPr>
          <w:sz w:val="28"/>
          <w:szCs w:val="28"/>
        </w:rPr>
        <w:t xml:space="preserve"> is an interest rate that equates the present value of the payments received from an instrument with its value today.</w:t>
      </w:r>
    </w:p>
    <w:p w:rsidR="0081043C" w:rsidRDefault="0081043C" w:rsidP="0081043C">
      <w:pPr>
        <w:numPr>
          <w:ilvl w:val="1"/>
          <w:numId w:val="2"/>
        </w:numPr>
        <w:jc w:val="both"/>
        <w:rPr>
          <w:sz w:val="28"/>
          <w:szCs w:val="28"/>
        </w:rPr>
      </w:pPr>
      <w:r>
        <w:rPr>
          <w:sz w:val="28"/>
          <w:szCs w:val="28"/>
        </w:rPr>
        <w:t>A common application of present value is the fixed payment loan: where a loan payment is due each time period and so the loaner calculates the payment by incorporating the opportunity cost of lending.</w:t>
      </w:r>
    </w:p>
    <w:p w:rsidR="0081043C" w:rsidRDefault="0081043C" w:rsidP="0081043C">
      <w:pPr>
        <w:numPr>
          <w:ilvl w:val="1"/>
          <w:numId w:val="2"/>
        </w:numPr>
        <w:jc w:val="both"/>
        <w:rPr>
          <w:sz w:val="28"/>
          <w:szCs w:val="28"/>
        </w:rPr>
      </w:pPr>
      <w:r>
        <w:rPr>
          <w:sz w:val="28"/>
          <w:szCs w:val="28"/>
        </w:rPr>
        <w:t>The equation is a complex one to solve, but easy to understand:</w:t>
      </w:r>
    </w:p>
    <w:p w:rsidR="0081043C" w:rsidRDefault="00790FED" w:rsidP="0081043C">
      <w:pPr>
        <w:ind w:left="1080"/>
        <w:jc w:val="both"/>
        <w:rPr>
          <w:sz w:val="28"/>
          <w:szCs w:val="28"/>
        </w:rPr>
      </w:pPr>
      <w:r>
        <w:rPr>
          <w:sz w:val="28"/>
          <w:szCs w:val="28"/>
        </w:rPr>
      </w:r>
      <w:r>
        <w:rPr>
          <w:sz w:val="28"/>
          <w:szCs w:val="28"/>
        </w:rPr>
        <w:pict>
          <v:group id="_x0000_s2492" editas="canvas" style="width:414pt;height:54pt;mso-position-horizontal-relative:char;mso-position-vertical-relative:line" coordorigin="5400,309" coordsize="6900,92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493" type="#_x0000_t75" style="position:absolute;left:5400;top:309;width:6900;height:926" o:preferrelative="f">
              <v:fill o:detectmouseclick="t"/>
              <v:path o:extrusionok="t" o:connecttype="none"/>
              <o:lock v:ext="edit" text="t"/>
            </v:shape>
            <v:line id="_x0000_s2494" style="position:absolute;flip:y" from="6600,772" to="7350,773" strokeweight="1.5pt"/>
            <v:shapetype id="_x0000_t202" coordsize="21600,21600" o:spt="202" path="m,l,21600r21600,l21600,xe">
              <v:stroke joinstyle="miter"/>
              <v:path gradientshapeok="t" o:connecttype="rect"/>
            </v:shapetype>
            <v:shape id="_x0000_s2495" type="#_x0000_t202" style="position:absolute;left:6600;top:463;width:750;height:465" filled="f" stroked="f">
              <v:textbox>
                <w:txbxContent>
                  <w:p w:rsidR="0081043C" w:rsidRPr="002C6230" w:rsidRDefault="0081043C" w:rsidP="0081043C">
                    <w:pPr>
                      <w:jc w:val="center"/>
                      <w:rPr>
                        <w:sz w:val="28"/>
                        <w:szCs w:val="28"/>
                      </w:rPr>
                    </w:pPr>
                    <w:r w:rsidRPr="002C6230">
                      <w:rPr>
                        <w:sz w:val="28"/>
                        <w:szCs w:val="28"/>
                      </w:rPr>
                      <w:t>FP</w:t>
                    </w:r>
                  </w:p>
                </w:txbxContent>
              </v:textbox>
            </v:shape>
            <v:shape id="_x0000_s2496" type="#_x0000_t202" style="position:absolute;left:6600;top:772;width:750;height:461" filled="f" stroked="f">
              <v:textbox>
                <w:txbxContent>
                  <w:p w:rsidR="0081043C" w:rsidRPr="002C6230" w:rsidRDefault="0081043C" w:rsidP="0081043C">
                    <w:pPr>
                      <w:jc w:val="center"/>
                      <w:rPr>
                        <w:sz w:val="28"/>
                        <w:szCs w:val="28"/>
                      </w:rPr>
                    </w:pPr>
                    <w:r w:rsidRPr="002C6230">
                      <w:rPr>
                        <w:sz w:val="28"/>
                        <w:szCs w:val="28"/>
                      </w:rPr>
                      <w:t>(1+</w:t>
                    </w:r>
                    <w:r w:rsidR="004051B8">
                      <w:rPr>
                        <w:sz w:val="28"/>
                        <w:szCs w:val="28"/>
                      </w:rPr>
                      <w:t>r</w:t>
                    </w:r>
                    <w:r w:rsidRPr="002C6230">
                      <w:rPr>
                        <w:sz w:val="28"/>
                        <w:szCs w:val="28"/>
                      </w:rPr>
                      <w:t>)</w:t>
                    </w:r>
                  </w:p>
                </w:txbxContent>
              </v:textbox>
            </v:shape>
            <v:shape id="_x0000_s2497" type="#_x0000_t202" style="position:absolute;left:5850;top:617;width:750;height:463" filled="f" stroked="f">
              <v:textbox>
                <w:txbxContent>
                  <w:p w:rsidR="0081043C" w:rsidRPr="002C6230" w:rsidRDefault="0081043C" w:rsidP="0081043C">
                    <w:pPr>
                      <w:jc w:val="center"/>
                      <w:rPr>
                        <w:sz w:val="28"/>
                        <w:szCs w:val="28"/>
                      </w:rPr>
                    </w:pPr>
                    <w:smartTag w:uri="urn:schemas-microsoft-com:office:smarttags" w:element="place">
                      <w:smartTag w:uri="urn:schemas-microsoft-com:office:smarttags" w:element="City">
                        <w:r>
                          <w:rPr>
                            <w:sz w:val="28"/>
                            <w:szCs w:val="28"/>
                          </w:rPr>
                          <w:t>LV</w:t>
                        </w:r>
                      </w:smartTag>
                    </w:smartTag>
                    <w:r>
                      <w:rPr>
                        <w:sz w:val="28"/>
                        <w:szCs w:val="28"/>
                      </w:rPr>
                      <w:t xml:space="preserve"> =</w:t>
                    </w:r>
                  </w:p>
                </w:txbxContent>
              </v:textbox>
            </v:shape>
            <v:shape id="_x0000_s2498" type="#_x0000_t202" style="position:absolute;left:7350;top:617;width:450;height:463" filled="f" stroked="f">
              <v:textbox>
                <w:txbxContent>
                  <w:p w:rsidR="0081043C" w:rsidRPr="002C6230" w:rsidRDefault="0081043C" w:rsidP="0081043C">
                    <w:pPr>
                      <w:jc w:val="center"/>
                      <w:rPr>
                        <w:sz w:val="28"/>
                        <w:szCs w:val="28"/>
                      </w:rPr>
                    </w:pPr>
                    <w:r>
                      <w:rPr>
                        <w:sz w:val="28"/>
                        <w:szCs w:val="28"/>
                      </w:rPr>
                      <w:t>+</w:t>
                    </w:r>
                  </w:p>
                </w:txbxContent>
              </v:textbox>
            </v:shape>
            <v:line id="_x0000_s2499" style="position:absolute;flip:y" from="7800,772" to="8550,774" strokeweight="1.5pt"/>
            <v:line id="_x0000_s2500" style="position:absolute;flip:y" from="9000,772" to="9750,774" strokeweight="1.5pt"/>
            <v:line id="_x0000_s2501" style="position:absolute;flip:y" from="10500,772" to="11250,775" strokeweight="1.5pt"/>
            <v:shape id="_x0000_s2502" type="#_x0000_t202" style="position:absolute;left:7800;top:772;width:900;height:461" filled="f" stroked="f">
              <v:textbox>
                <w:txbxContent>
                  <w:p w:rsidR="0081043C" w:rsidRPr="002C6230" w:rsidRDefault="0081043C" w:rsidP="0081043C">
                    <w:pPr>
                      <w:jc w:val="center"/>
                      <w:rPr>
                        <w:sz w:val="28"/>
                        <w:szCs w:val="28"/>
                      </w:rPr>
                    </w:pPr>
                    <w:r w:rsidRPr="002C6230">
                      <w:rPr>
                        <w:sz w:val="28"/>
                        <w:szCs w:val="28"/>
                      </w:rPr>
                      <w:t>(1+</w:t>
                    </w:r>
                    <w:r w:rsidR="004051B8">
                      <w:rPr>
                        <w:sz w:val="28"/>
                        <w:szCs w:val="28"/>
                      </w:rPr>
                      <w:t>r</w:t>
                    </w:r>
                    <w:r w:rsidRPr="002C6230">
                      <w:rPr>
                        <w:sz w:val="28"/>
                        <w:szCs w:val="28"/>
                      </w:rPr>
                      <w:t>)</w:t>
                    </w:r>
                    <w:r>
                      <w:rPr>
                        <w:sz w:val="28"/>
                        <w:szCs w:val="28"/>
                        <w:vertAlign w:val="superscript"/>
                      </w:rPr>
                      <w:t>2</w:t>
                    </w:r>
                  </w:p>
                </w:txbxContent>
              </v:textbox>
            </v:shape>
            <v:shape id="_x0000_s2503" type="#_x0000_t202" style="position:absolute;left:8550;top:617;width:450;height:463" filled="f" stroked="f">
              <v:textbox>
                <w:txbxContent>
                  <w:p w:rsidR="0081043C" w:rsidRPr="002C6230" w:rsidRDefault="0081043C" w:rsidP="0081043C">
                    <w:pPr>
                      <w:jc w:val="center"/>
                      <w:rPr>
                        <w:sz w:val="28"/>
                        <w:szCs w:val="28"/>
                      </w:rPr>
                    </w:pPr>
                    <w:r>
                      <w:rPr>
                        <w:sz w:val="28"/>
                        <w:szCs w:val="28"/>
                      </w:rPr>
                      <w:t>+</w:t>
                    </w:r>
                  </w:p>
                </w:txbxContent>
              </v:textbox>
            </v:shape>
            <v:shape id="_x0000_s2504" type="#_x0000_t202" style="position:absolute;left:9000;top:772;width:900;height:461" filled="f" stroked="f">
              <v:textbox>
                <w:txbxContent>
                  <w:p w:rsidR="0081043C" w:rsidRPr="002C6230" w:rsidRDefault="0081043C" w:rsidP="0081043C">
                    <w:pPr>
                      <w:jc w:val="center"/>
                      <w:rPr>
                        <w:sz w:val="28"/>
                        <w:szCs w:val="28"/>
                      </w:rPr>
                    </w:pPr>
                    <w:r w:rsidRPr="002C6230">
                      <w:rPr>
                        <w:sz w:val="28"/>
                        <w:szCs w:val="28"/>
                      </w:rPr>
                      <w:t>(1+</w:t>
                    </w:r>
                    <w:r w:rsidR="004051B8">
                      <w:rPr>
                        <w:sz w:val="28"/>
                        <w:szCs w:val="28"/>
                      </w:rPr>
                      <w:t>r</w:t>
                    </w:r>
                    <w:r w:rsidRPr="002C6230">
                      <w:rPr>
                        <w:sz w:val="28"/>
                        <w:szCs w:val="28"/>
                      </w:rPr>
                      <w:t>)</w:t>
                    </w:r>
                    <w:r>
                      <w:rPr>
                        <w:sz w:val="28"/>
                        <w:szCs w:val="28"/>
                        <w:vertAlign w:val="superscript"/>
                      </w:rPr>
                      <w:t>3</w:t>
                    </w:r>
                  </w:p>
                </w:txbxContent>
              </v:textbox>
            </v:shape>
            <v:shape id="_x0000_s2505" type="#_x0000_t202" style="position:absolute;left:9750;top:617;width:750;height:463" filled="f" stroked="f">
              <v:textbox>
                <w:txbxContent>
                  <w:p w:rsidR="0081043C" w:rsidRPr="002C6230" w:rsidRDefault="0081043C" w:rsidP="0081043C">
                    <w:pPr>
                      <w:jc w:val="center"/>
                      <w:rPr>
                        <w:sz w:val="28"/>
                        <w:szCs w:val="28"/>
                      </w:rPr>
                    </w:pPr>
                    <w:r>
                      <w:rPr>
                        <w:sz w:val="28"/>
                        <w:szCs w:val="28"/>
                      </w:rPr>
                      <w:t>+…+</w:t>
                    </w:r>
                  </w:p>
                </w:txbxContent>
              </v:textbox>
            </v:shape>
            <v:shape id="_x0000_s2506" type="#_x0000_t202" style="position:absolute;left:7800;top:463;width:750;height:464" filled="f" stroked="f">
              <v:textbox>
                <w:txbxContent>
                  <w:p w:rsidR="0081043C" w:rsidRPr="002C6230" w:rsidRDefault="0081043C" w:rsidP="0081043C">
                    <w:pPr>
                      <w:jc w:val="center"/>
                      <w:rPr>
                        <w:sz w:val="28"/>
                        <w:szCs w:val="28"/>
                      </w:rPr>
                    </w:pPr>
                    <w:r w:rsidRPr="002C6230">
                      <w:rPr>
                        <w:sz w:val="28"/>
                        <w:szCs w:val="28"/>
                      </w:rPr>
                      <w:t>FP</w:t>
                    </w:r>
                  </w:p>
                </w:txbxContent>
              </v:textbox>
            </v:shape>
            <v:shape id="_x0000_s2507" type="#_x0000_t202" style="position:absolute;left:9000;top:463;width:750;height:464" filled="f" stroked="f">
              <v:textbox>
                <w:txbxContent>
                  <w:p w:rsidR="0081043C" w:rsidRPr="002C6230" w:rsidRDefault="0081043C" w:rsidP="0081043C">
                    <w:pPr>
                      <w:jc w:val="center"/>
                      <w:rPr>
                        <w:sz w:val="28"/>
                        <w:szCs w:val="28"/>
                      </w:rPr>
                    </w:pPr>
                    <w:r w:rsidRPr="002C6230">
                      <w:rPr>
                        <w:sz w:val="28"/>
                        <w:szCs w:val="28"/>
                      </w:rPr>
                      <w:t>FP</w:t>
                    </w:r>
                  </w:p>
                </w:txbxContent>
              </v:textbox>
            </v:shape>
            <v:shape id="_x0000_s2508" type="#_x0000_t202" style="position:absolute;left:10500;top:463;width:750;height:464" filled="f" stroked="f">
              <v:textbox>
                <w:txbxContent>
                  <w:p w:rsidR="0081043C" w:rsidRPr="002C6230" w:rsidRDefault="0081043C" w:rsidP="0081043C">
                    <w:pPr>
                      <w:jc w:val="center"/>
                      <w:rPr>
                        <w:sz w:val="28"/>
                        <w:szCs w:val="28"/>
                      </w:rPr>
                    </w:pPr>
                    <w:r w:rsidRPr="002C6230">
                      <w:rPr>
                        <w:sz w:val="28"/>
                        <w:szCs w:val="28"/>
                      </w:rPr>
                      <w:t>FP</w:t>
                    </w:r>
                  </w:p>
                </w:txbxContent>
              </v:textbox>
            </v:shape>
            <v:shape id="_x0000_s2509" type="#_x0000_t202" style="position:absolute;left:10500;top:772;width:900;height:461" filled="f" stroked="f">
              <v:textbox>
                <w:txbxContent>
                  <w:p w:rsidR="0081043C" w:rsidRPr="002C6230" w:rsidRDefault="0081043C" w:rsidP="0081043C">
                    <w:pPr>
                      <w:jc w:val="center"/>
                      <w:rPr>
                        <w:sz w:val="28"/>
                        <w:szCs w:val="28"/>
                      </w:rPr>
                    </w:pPr>
                    <w:r w:rsidRPr="002C6230">
                      <w:rPr>
                        <w:sz w:val="28"/>
                        <w:szCs w:val="28"/>
                      </w:rPr>
                      <w:t>(1+</w:t>
                    </w:r>
                    <w:r w:rsidR="004051B8">
                      <w:rPr>
                        <w:sz w:val="28"/>
                        <w:szCs w:val="28"/>
                      </w:rPr>
                      <w:t>r</w:t>
                    </w:r>
                    <w:r w:rsidRPr="002C6230">
                      <w:rPr>
                        <w:sz w:val="28"/>
                        <w:szCs w:val="28"/>
                      </w:rPr>
                      <w:t>)</w:t>
                    </w:r>
                    <w:r w:rsidRPr="00D44ED0">
                      <w:rPr>
                        <w:sz w:val="28"/>
                        <w:szCs w:val="28"/>
                        <w:vertAlign w:val="superscript"/>
                      </w:rPr>
                      <w:t>n</w:t>
                    </w:r>
                  </w:p>
                </w:txbxContent>
              </v:textbox>
            </v:shape>
            <w10:wrap type="none"/>
            <w10:anchorlock/>
          </v:group>
        </w:pict>
      </w:r>
    </w:p>
    <w:p w:rsidR="0081043C" w:rsidRDefault="0081043C" w:rsidP="0081043C">
      <w:pPr>
        <w:numPr>
          <w:ilvl w:val="2"/>
          <w:numId w:val="2"/>
        </w:numPr>
        <w:jc w:val="both"/>
        <w:rPr>
          <w:sz w:val="28"/>
          <w:szCs w:val="28"/>
        </w:rPr>
      </w:pPr>
      <w:r>
        <w:rPr>
          <w:sz w:val="28"/>
          <w:szCs w:val="28"/>
        </w:rPr>
        <w:t xml:space="preserve">Where </w:t>
      </w:r>
      <w:r w:rsidRPr="00D44ED0">
        <w:rPr>
          <w:i/>
          <w:sz w:val="28"/>
          <w:szCs w:val="28"/>
        </w:rPr>
        <w:t>LV</w:t>
      </w:r>
      <w:r>
        <w:rPr>
          <w:sz w:val="28"/>
          <w:szCs w:val="28"/>
        </w:rPr>
        <w:t xml:space="preserve"> is the loan value, </w:t>
      </w:r>
      <w:r w:rsidRPr="00D44ED0">
        <w:rPr>
          <w:i/>
          <w:sz w:val="28"/>
          <w:szCs w:val="28"/>
        </w:rPr>
        <w:t>FP</w:t>
      </w:r>
      <w:r>
        <w:rPr>
          <w:sz w:val="28"/>
          <w:szCs w:val="28"/>
        </w:rPr>
        <w:t xml:space="preserve"> is the fixed payment and </w:t>
      </w:r>
      <w:proofErr w:type="spellStart"/>
      <w:r w:rsidRPr="00D44ED0">
        <w:rPr>
          <w:i/>
          <w:sz w:val="28"/>
          <w:szCs w:val="28"/>
        </w:rPr>
        <w:t>i</w:t>
      </w:r>
      <w:proofErr w:type="spellEnd"/>
      <w:r>
        <w:rPr>
          <w:sz w:val="28"/>
          <w:szCs w:val="28"/>
        </w:rPr>
        <w:t xml:space="preserve"> is the interest rate.</w:t>
      </w:r>
    </w:p>
    <w:p w:rsidR="0081043C" w:rsidRDefault="0081043C" w:rsidP="0081043C">
      <w:pPr>
        <w:numPr>
          <w:ilvl w:val="2"/>
          <w:numId w:val="2"/>
        </w:numPr>
        <w:jc w:val="both"/>
        <w:rPr>
          <w:sz w:val="28"/>
          <w:szCs w:val="28"/>
        </w:rPr>
      </w:pPr>
      <w:r w:rsidRPr="00DD1D46">
        <w:rPr>
          <w:sz w:val="28"/>
          <w:szCs w:val="28"/>
        </w:rPr>
        <w:t>Note the difference fixed payment loans make. With an interest rate of 7% and a LV of $100,000, the fixed payment over a 25 year period is $9,439.29 (or $235,982.25</w:t>
      </w:r>
      <w:r w:rsidR="004051B8">
        <w:rPr>
          <w:sz w:val="28"/>
          <w:szCs w:val="28"/>
        </w:rPr>
        <w:t xml:space="preserve"> total</w:t>
      </w:r>
      <w:r w:rsidRPr="00DD1D46">
        <w:rPr>
          <w:sz w:val="28"/>
          <w:szCs w:val="28"/>
        </w:rPr>
        <w:t xml:space="preserve">). </w:t>
      </w:r>
      <w:r w:rsidR="004051B8">
        <w:rPr>
          <w:sz w:val="28"/>
          <w:szCs w:val="28"/>
        </w:rPr>
        <w:t>T</w:t>
      </w:r>
      <w:r w:rsidRPr="00DD1D46">
        <w:rPr>
          <w:sz w:val="28"/>
          <w:szCs w:val="28"/>
        </w:rPr>
        <w:t>he pendulum of compound interest rates swings both ways.</w:t>
      </w:r>
    </w:p>
    <w:p w:rsidR="0081043C" w:rsidRDefault="004051B8" w:rsidP="0081043C">
      <w:pPr>
        <w:numPr>
          <w:ilvl w:val="0"/>
          <w:numId w:val="2"/>
        </w:numPr>
        <w:jc w:val="both"/>
        <w:rPr>
          <w:sz w:val="28"/>
          <w:szCs w:val="28"/>
        </w:rPr>
      </w:pPr>
      <w:r>
        <w:rPr>
          <w:sz w:val="28"/>
          <w:szCs w:val="28"/>
        </w:rPr>
        <w:t>Investment</w:t>
      </w:r>
    </w:p>
    <w:p w:rsidR="004051B8" w:rsidRDefault="004051B8" w:rsidP="004051B8">
      <w:pPr>
        <w:numPr>
          <w:ilvl w:val="1"/>
          <w:numId w:val="2"/>
        </w:numPr>
        <w:jc w:val="both"/>
        <w:rPr>
          <w:sz w:val="28"/>
          <w:szCs w:val="28"/>
        </w:rPr>
      </w:pPr>
      <w:r>
        <w:rPr>
          <w:sz w:val="28"/>
          <w:szCs w:val="28"/>
        </w:rPr>
        <w:t xml:space="preserve">The equation above is used to price all sort of long-term payments, not just houses. For example, it’s often used to price bonds. </w:t>
      </w:r>
    </w:p>
    <w:p w:rsidR="004051B8" w:rsidRDefault="004051B8" w:rsidP="004051B8">
      <w:pPr>
        <w:numPr>
          <w:ilvl w:val="2"/>
          <w:numId w:val="2"/>
        </w:numPr>
        <w:jc w:val="both"/>
        <w:rPr>
          <w:sz w:val="28"/>
          <w:szCs w:val="28"/>
        </w:rPr>
      </w:pPr>
      <w:r>
        <w:rPr>
          <w:sz w:val="28"/>
          <w:szCs w:val="28"/>
        </w:rPr>
        <w:t>A bond is when the borrower pays the lender a fixed stream of money each period.</w:t>
      </w:r>
    </w:p>
    <w:p w:rsidR="004051B8" w:rsidRDefault="004051B8" w:rsidP="004051B8">
      <w:pPr>
        <w:numPr>
          <w:ilvl w:val="2"/>
          <w:numId w:val="2"/>
        </w:numPr>
        <w:jc w:val="both"/>
        <w:rPr>
          <w:sz w:val="28"/>
          <w:szCs w:val="28"/>
        </w:rPr>
      </w:pPr>
      <w:r>
        <w:rPr>
          <w:sz w:val="28"/>
          <w:szCs w:val="28"/>
        </w:rPr>
        <w:t xml:space="preserve">How much should you be willing to pay </w:t>
      </w:r>
      <w:r w:rsidR="006363FA">
        <w:rPr>
          <w:sz w:val="28"/>
          <w:szCs w:val="28"/>
        </w:rPr>
        <w:t>for a bond? It depends on the interest rate and the flow of payments. It will be worth LV.</w:t>
      </w:r>
    </w:p>
    <w:p w:rsidR="006363FA" w:rsidRDefault="00F34A73" w:rsidP="006363FA">
      <w:pPr>
        <w:numPr>
          <w:ilvl w:val="1"/>
          <w:numId w:val="2"/>
        </w:numPr>
        <w:jc w:val="both"/>
        <w:rPr>
          <w:sz w:val="28"/>
          <w:szCs w:val="28"/>
        </w:rPr>
      </w:pPr>
      <w:r>
        <w:rPr>
          <w:sz w:val="28"/>
          <w:szCs w:val="28"/>
        </w:rPr>
        <w:t>For present value, we compare against the risk-free rate of return (usually the interest rate of a U.S. government bond).</w:t>
      </w:r>
    </w:p>
    <w:p w:rsidR="003C2C5A" w:rsidRDefault="00F34A73" w:rsidP="006363FA">
      <w:pPr>
        <w:numPr>
          <w:ilvl w:val="1"/>
          <w:numId w:val="2"/>
        </w:numPr>
        <w:jc w:val="both"/>
        <w:rPr>
          <w:sz w:val="28"/>
          <w:szCs w:val="28"/>
        </w:rPr>
      </w:pPr>
      <w:r>
        <w:rPr>
          <w:sz w:val="28"/>
          <w:szCs w:val="28"/>
        </w:rPr>
        <w:t xml:space="preserve">Investments are rarely risk-free. Investments fail to pay off. Loans are defaulted on. Businesses fail. </w:t>
      </w:r>
      <w:r w:rsidR="003C2C5A">
        <w:rPr>
          <w:sz w:val="28"/>
          <w:szCs w:val="28"/>
        </w:rPr>
        <w:t xml:space="preserve">There is thus a </w:t>
      </w:r>
      <w:r w:rsidR="003C2C5A" w:rsidRPr="003C2C5A">
        <w:rPr>
          <w:i/>
          <w:sz w:val="28"/>
          <w:szCs w:val="28"/>
        </w:rPr>
        <w:t>risk-return trade off</w:t>
      </w:r>
      <w:r w:rsidR="003C2C5A">
        <w:rPr>
          <w:sz w:val="28"/>
          <w:szCs w:val="28"/>
        </w:rPr>
        <w:t>. The riskier the investment, the higher the payoff if successful.</w:t>
      </w:r>
    </w:p>
    <w:p w:rsidR="00F34A73" w:rsidRDefault="00F34A73" w:rsidP="006363FA">
      <w:pPr>
        <w:numPr>
          <w:ilvl w:val="1"/>
          <w:numId w:val="2"/>
        </w:numPr>
        <w:jc w:val="both"/>
        <w:rPr>
          <w:sz w:val="28"/>
          <w:szCs w:val="28"/>
        </w:rPr>
      </w:pPr>
      <w:r>
        <w:rPr>
          <w:sz w:val="28"/>
          <w:szCs w:val="28"/>
        </w:rPr>
        <w:t xml:space="preserve">The </w:t>
      </w:r>
      <w:r>
        <w:rPr>
          <w:i/>
          <w:sz w:val="28"/>
          <w:szCs w:val="28"/>
        </w:rPr>
        <w:t>risk premium</w:t>
      </w:r>
      <w:r>
        <w:rPr>
          <w:sz w:val="28"/>
          <w:szCs w:val="28"/>
        </w:rPr>
        <w:t xml:space="preserve"> </w:t>
      </w:r>
      <w:r w:rsidR="003C2C5A">
        <w:rPr>
          <w:sz w:val="28"/>
          <w:szCs w:val="28"/>
        </w:rPr>
        <w:t xml:space="preserve">goes one step further. It </w:t>
      </w:r>
      <w:r>
        <w:rPr>
          <w:sz w:val="28"/>
          <w:szCs w:val="28"/>
        </w:rPr>
        <w:t xml:space="preserve">is the </w:t>
      </w:r>
      <w:r w:rsidR="004E1A8F">
        <w:rPr>
          <w:sz w:val="28"/>
          <w:szCs w:val="28"/>
        </w:rPr>
        <w:t xml:space="preserve">difference between the expected payoff of a risky investment and the expected payoff of a </w:t>
      </w:r>
      <w:r w:rsidR="004E1A8F">
        <w:rPr>
          <w:sz w:val="28"/>
          <w:szCs w:val="28"/>
        </w:rPr>
        <w:lastRenderedPageBreak/>
        <w:t>less risky investment, or the amount</w:t>
      </w:r>
      <w:r>
        <w:rPr>
          <w:sz w:val="28"/>
          <w:szCs w:val="28"/>
        </w:rPr>
        <w:t xml:space="preserve"> a risk-averse agent will pay to avoid taking a risk.</w:t>
      </w:r>
    </w:p>
    <w:p w:rsidR="00F34A73" w:rsidRDefault="004E1A8F" w:rsidP="00F34A73">
      <w:pPr>
        <w:numPr>
          <w:ilvl w:val="2"/>
          <w:numId w:val="2"/>
        </w:numPr>
        <w:jc w:val="both"/>
        <w:rPr>
          <w:sz w:val="28"/>
          <w:szCs w:val="28"/>
        </w:rPr>
      </w:pPr>
      <w:r>
        <w:rPr>
          <w:sz w:val="28"/>
          <w:szCs w:val="28"/>
        </w:rPr>
        <w:t>If the expected payoff of a risky investment (say, venture capitalism) is $10 million and the expected payoff of a safe investment (say, government bonds) is $9 million, then the risk premium is $1 million.</w:t>
      </w:r>
    </w:p>
    <w:p w:rsidR="004E1A8F" w:rsidRDefault="004E1A8F" w:rsidP="00F34A73">
      <w:pPr>
        <w:numPr>
          <w:ilvl w:val="2"/>
          <w:numId w:val="2"/>
        </w:numPr>
        <w:jc w:val="both"/>
        <w:rPr>
          <w:sz w:val="28"/>
          <w:szCs w:val="28"/>
        </w:rPr>
      </w:pPr>
      <w:r>
        <w:rPr>
          <w:sz w:val="28"/>
          <w:szCs w:val="28"/>
        </w:rPr>
        <w:t xml:space="preserve">Note these are </w:t>
      </w:r>
      <w:r>
        <w:rPr>
          <w:i/>
          <w:sz w:val="28"/>
          <w:szCs w:val="28"/>
        </w:rPr>
        <w:t xml:space="preserve">expected </w:t>
      </w:r>
      <w:r>
        <w:rPr>
          <w:sz w:val="28"/>
          <w:szCs w:val="28"/>
        </w:rPr>
        <w:t>payoffs. If agents were risk-neutral, the expected payoffs would be the same.</w:t>
      </w:r>
    </w:p>
    <w:p w:rsidR="004E1A8F" w:rsidRDefault="004E1A8F" w:rsidP="004E1A8F">
      <w:pPr>
        <w:numPr>
          <w:ilvl w:val="1"/>
          <w:numId w:val="2"/>
        </w:numPr>
        <w:jc w:val="both"/>
        <w:rPr>
          <w:sz w:val="28"/>
          <w:szCs w:val="28"/>
        </w:rPr>
      </w:pPr>
      <w:r>
        <w:rPr>
          <w:sz w:val="28"/>
          <w:szCs w:val="28"/>
        </w:rPr>
        <w:t>It’s not unreasonable that people are risk averse. At the very least, risk makes it harder to plan which is a real cost to future earnings. Psychologically, people find certainty more comforting. Thus we are interested in removing risk, when possible.</w:t>
      </w:r>
    </w:p>
    <w:p w:rsidR="004E1A8F" w:rsidRDefault="004E1A8F" w:rsidP="004E1A8F">
      <w:pPr>
        <w:numPr>
          <w:ilvl w:val="2"/>
          <w:numId w:val="2"/>
        </w:numPr>
        <w:jc w:val="both"/>
        <w:rPr>
          <w:sz w:val="28"/>
          <w:szCs w:val="28"/>
        </w:rPr>
      </w:pPr>
      <w:r>
        <w:rPr>
          <w:i/>
          <w:sz w:val="28"/>
          <w:szCs w:val="28"/>
        </w:rPr>
        <w:t>Diversifiable risk</w:t>
      </w:r>
      <w:r>
        <w:rPr>
          <w:sz w:val="28"/>
          <w:szCs w:val="28"/>
        </w:rPr>
        <w:t xml:space="preserve">—risk which can be reduced by investing in many different types of projects. Since each project is independent, the likelihood of all of them failing is very low. But this also limits your earnings since, by the law of large numbers, ensures </w:t>
      </w:r>
      <w:r>
        <w:rPr>
          <w:i/>
          <w:sz w:val="28"/>
          <w:szCs w:val="28"/>
        </w:rPr>
        <w:t>something</w:t>
      </w:r>
      <w:r>
        <w:rPr>
          <w:sz w:val="28"/>
          <w:szCs w:val="28"/>
        </w:rPr>
        <w:t xml:space="preserve"> will fail.</w:t>
      </w:r>
      <w:r w:rsidR="003C2C5A">
        <w:rPr>
          <w:sz w:val="28"/>
          <w:szCs w:val="28"/>
        </w:rPr>
        <w:t xml:space="preserve"> Thus there should be no risk premium on a well diversified portfolio (because all/most the risk is gone).</w:t>
      </w:r>
    </w:p>
    <w:p w:rsidR="004E1A8F" w:rsidRDefault="004E1A8F" w:rsidP="004E1A8F">
      <w:pPr>
        <w:numPr>
          <w:ilvl w:val="2"/>
          <w:numId w:val="2"/>
        </w:numPr>
        <w:jc w:val="both"/>
        <w:rPr>
          <w:sz w:val="28"/>
          <w:szCs w:val="28"/>
        </w:rPr>
      </w:pPr>
      <w:proofErr w:type="spellStart"/>
      <w:r>
        <w:rPr>
          <w:i/>
          <w:sz w:val="28"/>
          <w:szCs w:val="28"/>
        </w:rPr>
        <w:t>Nondiversifiable</w:t>
      </w:r>
      <w:proofErr w:type="spellEnd"/>
      <w:r>
        <w:rPr>
          <w:i/>
          <w:sz w:val="28"/>
          <w:szCs w:val="28"/>
        </w:rPr>
        <w:t xml:space="preserve"> risk</w:t>
      </w:r>
      <w:r w:rsidR="003C2C5A">
        <w:rPr>
          <w:sz w:val="28"/>
          <w:szCs w:val="28"/>
        </w:rPr>
        <w:t xml:space="preserve">—Sometimes you can’t get rid of certain types of risk. A life insurance company can diversify risk by having many different police holders. But the threat of war is </w:t>
      </w:r>
      <w:proofErr w:type="spellStart"/>
      <w:r w:rsidR="003C2C5A">
        <w:rPr>
          <w:sz w:val="28"/>
          <w:szCs w:val="28"/>
        </w:rPr>
        <w:t>nondiversifiable</w:t>
      </w:r>
      <w:proofErr w:type="spellEnd"/>
      <w:r w:rsidR="003C2C5A">
        <w:rPr>
          <w:sz w:val="28"/>
          <w:szCs w:val="28"/>
        </w:rPr>
        <w:t xml:space="preserve"> since it will affect the average death rate. Thus life insurance companies don’t cover death from war. You can’t eliminate all risk, no matter how well you diversify. </w:t>
      </w:r>
      <w:proofErr w:type="spellStart"/>
      <w:r w:rsidR="003C2C5A">
        <w:rPr>
          <w:sz w:val="28"/>
          <w:szCs w:val="28"/>
        </w:rPr>
        <w:t>Nondiversifiable</w:t>
      </w:r>
      <w:proofErr w:type="spellEnd"/>
      <w:r w:rsidR="003C2C5A">
        <w:rPr>
          <w:sz w:val="28"/>
          <w:szCs w:val="28"/>
        </w:rPr>
        <w:t xml:space="preserve"> risk will always be there.</w:t>
      </w:r>
    </w:p>
    <w:p w:rsidR="003C2C5A" w:rsidRDefault="003C2C5A" w:rsidP="003C2C5A">
      <w:pPr>
        <w:numPr>
          <w:ilvl w:val="1"/>
          <w:numId w:val="2"/>
        </w:numPr>
        <w:jc w:val="both"/>
        <w:rPr>
          <w:sz w:val="28"/>
          <w:szCs w:val="28"/>
        </w:rPr>
      </w:pPr>
      <w:r w:rsidRPr="003C2C5A">
        <w:rPr>
          <w:sz w:val="28"/>
          <w:szCs w:val="28"/>
          <w:u w:val="single"/>
        </w:rPr>
        <w:t>Example</w:t>
      </w:r>
      <w:r>
        <w:rPr>
          <w:sz w:val="28"/>
          <w:szCs w:val="28"/>
        </w:rPr>
        <w:t>: the housing crisis and a lesson in what’s diversified.</w:t>
      </w:r>
    </w:p>
    <w:p w:rsidR="003C2C5A" w:rsidRDefault="003C2C5A" w:rsidP="003C2C5A">
      <w:pPr>
        <w:numPr>
          <w:ilvl w:val="0"/>
          <w:numId w:val="2"/>
        </w:numPr>
        <w:jc w:val="both"/>
        <w:rPr>
          <w:sz w:val="28"/>
          <w:szCs w:val="28"/>
        </w:rPr>
      </w:pPr>
      <w:r>
        <w:rPr>
          <w:sz w:val="28"/>
          <w:szCs w:val="28"/>
        </w:rPr>
        <w:t>CAPM</w:t>
      </w:r>
    </w:p>
    <w:p w:rsidR="003C2C5A" w:rsidRDefault="003C2C5A" w:rsidP="003C2C5A">
      <w:pPr>
        <w:numPr>
          <w:ilvl w:val="1"/>
          <w:numId w:val="2"/>
        </w:numPr>
        <w:jc w:val="both"/>
        <w:rPr>
          <w:sz w:val="28"/>
          <w:szCs w:val="28"/>
        </w:rPr>
      </w:pPr>
      <w:r>
        <w:rPr>
          <w:sz w:val="28"/>
          <w:szCs w:val="28"/>
        </w:rPr>
        <w:t xml:space="preserve">The </w:t>
      </w:r>
      <w:r w:rsidRPr="003C2C5A">
        <w:rPr>
          <w:i/>
          <w:sz w:val="28"/>
          <w:szCs w:val="28"/>
        </w:rPr>
        <w:t>Capital Asset Pricing Model (CAPM)</w:t>
      </w:r>
      <w:r>
        <w:rPr>
          <w:sz w:val="28"/>
          <w:szCs w:val="28"/>
        </w:rPr>
        <w:t xml:space="preserve"> measures the risk premium for a capital investment by comparing the expected return on that investment with the expected return on the entire stock market.</w:t>
      </w:r>
    </w:p>
    <w:p w:rsidR="003C2C5A" w:rsidRDefault="003C2C5A" w:rsidP="003C2C5A">
      <w:pPr>
        <w:numPr>
          <w:ilvl w:val="2"/>
          <w:numId w:val="2"/>
        </w:numPr>
        <w:jc w:val="both"/>
        <w:rPr>
          <w:sz w:val="28"/>
          <w:szCs w:val="28"/>
        </w:rPr>
      </w:pPr>
      <w:r>
        <w:rPr>
          <w:sz w:val="28"/>
          <w:szCs w:val="28"/>
        </w:rPr>
        <w:t>In other words, if, instead of investing in this one company, you invested in all companies, will you make more money?</w:t>
      </w:r>
    </w:p>
    <w:p w:rsidR="003C2C5A" w:rsidRDefault="003C2C5A" w:rsidP="003C2C5A">
      <w:pPr>
        <w:numPr>
          <w:ilvl w:val="1"/>
          <w:numId w:val="2"/>
        </w:numPr>
        <w:jc w:val="both"/>
        <w:rPr>
          <w:sz w:val="28"/>
          <w:szCs w:val="28"/>
        </w:rPr>
      </w:pPr>
      <w:r>
        <w:rPr>
          <w:sz w:val="28"/>
          <w:szCs w:val="28"/>
        </w:rPr>
        <w:t>CAPM can be summarized as:</w:t>
      </w:r>
    </w:p>
    <w:p w:rsidR="003C2C5A" w:rsidRDefault="000B639B" w:rsidP="00C22D13">
      <w:pPr>
        <w:jc w:val="center"/>
        <w:rPr>
          <w:sz w:val="28"/>
          <w:szCs w:val="28"/>
        </w:rPr>
      </w:pPr>
      <m:oMathPara>
        <m:oMath>
          <m:r>
            <w:rPr>
              <w:rFonts w:ascii="Cambria Math" w:hAnsi="Cambria Math"/>
              <w:sz w:val="28"/>
              <w:szCs w:val="28"/>
            </w:rPr>
            <m:t>β=</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i</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f</m:t>
                  </m:r>
                </m:sub>
              </m:sSub>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m</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f</m:t>
                  </m:r>
                </m:sub>
              </m:sSub>
            </m:den>
          </m:f>
        </m:oMath>
      </m:oMathPara>
    </w:p>
    <w:p w:rsidR="003C2C5A" w:rsidRDefault="001B6EE4" w:rsidP="001B6EE4">
      <w:pPr>
        <w:numPr>
          <w:ilvl w:val="2"/>
          <w:numId w:val="2"/>
        </w:numPr>
        <w:jc w:val="both"/>
        <w:rPr>
          <w:sz w:val="28"/>
          <w:szCs w:val="28"/>
        </w:rPr>
      </w:pPr>
      <w:r>
        <w:rPr>
          <w:sz w:val="28"/>
          <w:szCs w:val="28"/>
        </w:rPr>
        <w:t xml:space="preserve">Where </w:t>
      </w:r>
      <w:proofErr w:type="spellStart"/>
      <w:r>
        <w:rPr>
          <w:sz w:val="28"/>
          <w:szCs w:val="28"/>
        </w:rPr>
        <w:t>r</w:t>
      </w:r>
      <w:r w:rsidRPr="00C22D13">
        <w:rPr>
          <w:sz w:val="28"/>
          <w:szCs w:val="28"/>
          <w:vertAlign w:val="subscript"/>
        </w:rPr>
        <w:t>i</w:t>
      </w:r>
      <w:proofErr w:type="spellEnd"/>
      <w:r>
        <w:rPr>
          <w:sz w:val="28"/>
          <w:szCs w:val="28"/>
        </w:rPr>
        <w:t xml:space="preserve"> is the expected return on the investment,</w:t>
      </w:r>
    </w:p>
    <w:p w:rsidR="001B6EE4" w:rsidRDefault="001B6EE4" w:rsidP="001B6EE4">
      <w:pPr>
        <w:numPr>
          <w:ilvl w:val="2"/>
          <w:numId w:val="2"/>
        </w:numPr>
        <w:jc w:val="both"/>
        <w:rPr>
          <w:sz w:val="28"/>
          <w:szCs w:val="28"/>
        </w:rPr>
      </w:pPr>
      <w:r>
        <w:rPr>
          <w:sz w:val="28"/>
          <w:szCs w:val="28"/>
        </w:rPr>
        <w:t xml:space="preserve">And </w:t>
      </w:r>
      <w:proofErr w:type="spellStart"/>
      <w:r>
        <w:rPr>
          <w:sz w:val="28"/>
          <w:szCs w:val="28"/>
        </w:rPr>
        <w:t>r</w:t>
      </w:r>
      <w:r w:rsidRPr="00C22D13">
        <w:rPr>
          <w:sz w:val="28"/>
          <w:szCs w:val="28"/>
          <w:vertAlign w:val="subscript"/>
        </w:rPr>
        <w:t>m</w:t>
      </w:r>
      <w:proofErr w:type="spellEnd"/>
      <w:r>
        <w:rPr>
          <w:sz w:val="28"/>
          <w:szCs w:val="28"/>
        </w:rPr>
        <w:t xml:space="preserve"> is the expected return on the market,</w:t>
      </w:r>
    </w:p>
    <w:p w:rsidR="001B6EE4" w:rsidRDefault="001B6EE4" w:rsidP="001B6EE4">
      <w:pPr>
        <w:numPr>
          <w:ilvl w:val="2"/>
          <w:numId w:val="2"/>
        </w:numPr>
        <w:jc w:val="both"/>
        <w:rPr>
          <w:sz w:val="28"/>
          <w:szCs w:val="28"/>
        </w:rPr>
      </w:pPr>
      <w:r>
        <w:rPr>
          <w:sz w:val="28"/>
          <w:szCs w:val="28"/>
        </w:rPr>
        <w:t xml:space="preserve">And </w:t>
      </w:r>
      <w:proofErr w:type="spellStart"/>
      <w:r>
        <w:rPr>
          <w:sz w:val="28"/>
          <w:szCs w:val="28"/>
        </w:rPr>
        <w:t>r</w:t>
      </w:r>
      <w:r w:rsidRPr="00C22D13">
        <w:rPr>
          <w:sz w:val="28"/>
          <w:szCs w:val="28"/>
          <w:vertAlign w:val="subscript"/>
        </w:rPr>
        <w:t>f</w:t>
      </w:r>
      <w:proofErr w:type="spellEnd"/>
      <w:r>
        <w:rPr>
          <w:sz w:val="28"/>
          <w:szCs w:val="28"/>
        </w:rPr>
        <w:t xml:space="preserve"> is the expected risk-free rate of return</w:t>
      </w:r>
    </w:p>
    <w:p w:rsidR="00271DD1" w:rsidRDefault="001B6EE4" w:rsidP="0081043C">
      <w:pPr>
        <w:numPr>
          <w:ilvl w:val="2"/>
          <w:numId w:val="2"/>
        </w:numPr>
        <w:jc w:val="both"/>
        <w:rPr>
          <w:sz w:val="28"/>
          <w:szCs w:val="28"/>
        </w:rPr>
      </w:pPr>
      <w:r>
        <w:rPr>
          <w:sz w:val="28"/>
          <w:szCs w:val="28"/>
        </w:rPr>
        <w:lastRenderedPageBreak/>
        <w:t xml:space="preserve">And β is a constant that measures the sensitivity of an asset’s return to market movements (and, therefore, the assets </w:t>
      </w:r>
      <w:proofErr w:type="spellStart"/>
      <w:r>
        <w:rPr>
          <w:sz w:val="28"/>
          <w:szCs w:val="28"/>
        </w:rPr>
        <w:t>nondiversifiable</w:t>
      </w:r>
      <w:proofErr w:type="spellEnd"/>
      <w:r>
        <w:rPr>
          <w:sz w:val="28"/>
          <w:szCs w:val="28"/>
        </w:rPr>
        <w:t xml:space="preserve"> risk).</w:t>
      </w:r>
    </w:p>
    <w:p w:rsidR="006B0DE2" w:rsidRDefault="006B0DE2" w:rsidP="00C22D13">
      <w:pPr>
        <w:numPr>
          <w:ilvl w:val="1"/>
          <w:numId w:val="2"/>
        </w:numPr>
        <w:jc w:val="both"/>
        <w:rPr>
          <w:sz w:val="28"/>
          <w:szCs w:val="28"/>
        </w:rPr>
      </w:pPr>
      <w:r>
        <w:rPr>
          <w:sz w:val="28"/>
          <w:szCs w:val="28"/>
        </w:rPr>
        <w:t>β is a proportion of the sensitivity of the investment’s risk to market movements.</w:t>
      </w:r>
    </w:p>
    <w:p w:rsidR="006B0DE2" w:rsidRDefault="006B0DE2" w:rsidP="006B0DE2">
      <w:pPr>
        <w:numPr>
          <w:ilvl w:val="2"/>
          <w:numId w:val="2"/>
        </w:numPr>
        <w:jc w:val="both"/>
        <w:rPr>
          <w:sz w:val="28"/>
          <w:szCs w:val="28"/>
        </w:rPr>
      </w:pPr>
      <w:r>
        <w:rPr>
          <w:sz w:val="28"/>
          <w:szCs w:val="28"/>
        </w:rPr>
        <w:t xml:space="preserve">If β is large, then the investment has a lot of </w:t>
      </w:r>
      <w:proofErr w:type="spellStart"/>
      <w:r>
        <w:rPr>
          <w:sz w:val="28"/>
          <w:szCs w:val="28"/>
        </w:rPr>
        <w:t>nondiversifiable</w:t>
      </w:r>
      <w:proofErr w:type="spellEnd"/>
      <w:r>
        <w:rPr>
          <w:sz w:val="28"/>
          <w:szCs w:val="28"/>
        </w:rPr>
        <w:t xml:space="preserve"> risk. The risk premium thus increases, causing expected returns to increase.</w:t>
      </w:r>
    </w:p>
    <w:p w:rsidR="00C22D13" w:rsidRDefault="006B0DE2" w:rsidP="006B0DE2">
      <w:pPr>
        <w:numPr>
          <w:ilvl w:val="2"/>
          <w:numId w:val="2"/>
        </w:numPr>
        <w:jc w:val="both"/>
        <w:rPr>
          <w:sz w:val="28"/>
          <w:szCs w:val="28"/>
        </w:rPr>
      </w:pPr>
      <w:r>
        <w:rPr>
          <w:sz w:val="28"/>
          <w:szCs w:val="28"/>
        </w:rPr>
        <w:t xml:space="preserve">If β is small, then the investment is similar to the risk-free rate; it has a little </w:t>
      </w:r>
      <w:proofErr w:type="spellStart"/>
      <w:r>
        <w:rPr>
          <w:sz w:val="28"/>
          <w:szCs w:val="28"/>
        </w:rPr>
        <w:t>nondiversifiable</w:t>
      </w:r>
      <w:proofErr w:type="spellEnd"/>
      <w:r>
        <w:rPr>
          <w:sz w:val="28"/>
          <w:szCs w:val="28"/>
        </w:rPr>
        <w:t xml:space="preserve"> risk. The risk premium falls, thus expected returns fall.</w:t>
      </w:r>
    </w:p>
    <w:sectPr w:rsidR="00C22D13"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35C" w:rsidRDefault="00E6535C" w:rsidP="0091092C">
      <w:r>
        <w:separator/>
      </w:r>
    </w:p>
  </w:endnote>
  <w:endnote w:type="continuationSeparator" w:id="0">
    <w:p w:rsidR="00E6535C" w:rsidRDefault="00E6535C" w:rsidP="009109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35C" w:rsidRDefault="00E6535C" w:rsidP="0091092C">
      <w:r>
        <w:separator/>
      </w:r>
    </w:p>
  </w:footnote>
  <w:footnote w:type="continuationSeparator" w:id="0">
    <w:p w:rsidR="00E6535C" w:rsidRDefault="00E6535C" w:rsidP="009109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244EC9"/>
    <w:multiLevelType w:val="hybridMultilevel"/>
    <w:tmpl w:val="5094981E"/>
    <w:lvl w:ilvl="0" w:tplc="82F44224">
      <w:start w:val="1"/>
      <w:numFmt w:val="lowerRoman"/>
      <w:lvlText w:val="%1."/>
      <w:lvlJc w:val="right"/>
      <w:pPr>
        <w:tabs>
          <w:tab w:val="num" w:pos="2160"/>
        </w:tabs>
        <w:ind w:left="2160" w:hanging="18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E5FA5"/>
    <w:multiLevelType w:val="hybridMultilevel"/>
    <w:tmpl w:val="02EA039E"/>
    <w:lvl w:ilvl="0" w:tplc="82F44224">
      <w:start w:val="1"/>
      <w:numFmt w:val="lowerRoman"/>
      <w:lvlText w:val="%1."/>
      <w:lvlJc w:val="right"/>
      <w:pPr>
        <w:tabs>
          <w:tab w:val="num" w:pos="2160"/>
        </w:tabs>
        <w:ind w:left="2160" w:hanging="18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702D15"/>
    <w:multiLevelType w:val="hybridMultilevel"/>
    <w:tmpl w:val="80A0E5C2"/>
    <w:lvl w:ilvl="0" w:tplc="CB922E96">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3787C"/>
    <w:multiLevelType w:val="hybridMultilevel"/>
    <w:tmpl w:val="E87C6B92"/>
    <w:lvl w:ilvl="0" w:tplc="4B8244F0">
      <w:start w:val="1"/>
      <w:numFmt w:val="upperRoman"/>
      <w:lvlText w:val="%1."/>
      <w:lvlJc w:val="left"/>
      <w:pPr>
        <w:tabs>
          <w:tab w:val="num" w:pos="1080"/>
        </w:tabs>
        <w:ind w:left="1080" w:hanging="720"/>
      </w:pPr>
      <w:rPr>
        <w:rFonts w:hint="default"/>
      </w:rPr>
    </w:lvl>
    <w:lvl w:ilvl="1" w:tplc="4EA80A36">
      <w:start w:val="1"/>
      <w:numFmt w:val="lowerLetter"/>
      <w:lvlText w:val="%2."/>
      <w:lvlJc w:val="left"/>
      <w:pPr>
        <w:tabs>
          <w:tab w:val="num" w:pos="1440"/>
        </w:tabs>
        <w:ind w:left="1440" w:hanging="360"/>
      </w:pPr>
      <w:rPr>
        <w:i w:val="0"/>
      </w:rPr>
    </w:lvl>
    <w:lvl w:ilvl="2" w:tplc="F72C02AA">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EFA1C71"/>
    <w:multiLevelType w:val="hybridMultilevel"/>
    <w:tmpl w:val="33441DDC"/>
    <w:lvl w:ilvl="0" w:tplc="D27A2D8E">
      <w:start w:val="1"/>
      <w:numFmt w:val="upperRoman"/>
      <w:lvlText w:val="%1."/>
      <w:lvlJc w:val="left"/>
      <w:pPr>
        <w:tabs>
          <w:tab w:val="num" w:pos="1080"/>
        </w:tabs>
        <w:ind w:left="1080" w:hanging="720"/>
      </w:pPr>
      <w:rPr>
        <w:rFonts w:cs="Times New Roman" w:hint="default"/>
      </w:rPr>
    </w:lvl>
    <w:lvl w:ilvl="1" w:tplc="F6165D28">
      <w:start w:val="1"/>
      <w:numFmt w:val="lowerLetter"/>
      <w:lvlText w:val="%2."/>
      <w:lvlJc w:val="left"/>
      <w:pPr>
        <w:tabs>
          <w:tab w:val="num" w:pos="1440"/>
        </w:tabs>
        <w:ind w:left="1440" w:hanging="360"/>
      </w:pPr>
      <w:rPr>
        <w:rFonts w:cs="Times New Roman"/>
        <w:i w:val="0"/>
      </w:rPr>
    </w:lvl>
    <w:lvl w:ilvl="2" w:tplc="0A888726">
      <w:start w:val="1"/>
      <w:numFmt w:val="lowerRoman"/>
      <w:lvlText w:val="%3."/>
      <w:lvlJc w:val="right"/>
      <w:pPr>
        <w:tabs>
          <w:tab w:val="num" w:pos="2160"/>
        </w:tabs>
        <w:ind w:left="2160" w:hanging="180"/>
      </w:pPr>
      <w:rPr>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593873A8"/>
    <w:multiLevelType w:val="hybridMultilevel"/>
    <w:tmpl w:val="23409E38"/>
    <w:lvl w:ilvl="0" w:tplc="D6C6F5C8">
      <w:start w:val="1"/>
      <w:numFmt w:val="upperRoman"/>
      <w:lvlText w:val="%1."/>
      <w:lvlJc w:val="left"/>
      <w:pPr>
        <w:tabs>
          <w:tab w:val="num" w:pos="1080"/>
        </w:tabs>
        <w:ind w:left="1080" w:hanging="720"/>
      </w:pPr>
      <w:rPr>
        <w:rFonts w:cs="Times New Roman" w:hint="default"/>
      </w:rPr>
    </w:lvl>
    <w:lvl w:ilvl="1" w:tplc="CB922E96">
      <w:start w:val="1"/>
      <w:numFmt w:val="lowerLetter"/>
      <w:lvlText w:val="%2."/>
      <w:lvlJc w:val="left"/>
      <w:pPr>
        <w:tabs>
          <w:tab w:val="num" w:pos="1440"/>
        </w:tabs>
        <w:ind w:left="1440" w:hanging="360"/>
      </w:pPr>
      <w:rPr>
        <w:rFonts w:cs="Times New Roman"/>
        <w:i w:val="0"/>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60020A24"/>
    <w:multiLevelType w:val="hybridMultilevel"/>
    <w:tmpl w:val="AB5C5F28"/>
    <w:lvl w:ilvl="0" w:tplc="D6C6F5C8">
      <w:start w:val="1"/>
      <w:numFmt w:val="upperRoman"/>
      <w:lvlText w:val="%1."/>
      <w:lvlJc w:val="left"/>
      <w:pPr>
        <w:tabs>
          <w:tab w:val="num" w:pos="1080"/>
        </w:tabs>
        <w:ind w:left="1080" w:hanging="720"/>
      </w:pPr>
      <w:rPr>
        <w:rFonts w:cs="Times New Roman" w:hint="default"/>
      </w:rPr>
    </w:lvl>
    <w:lvl w:ilvl="1" w:tplc="CB922E96">
      <w:start w:val="1"/>
      <w:numFmt w:val="lowerLetter"/>
      <w:lvlText w:val="%2."/>
      <w:lvlJc w:val="left"/>
      <w:pPr>
        <w:tabs>
          <w:tab w:val="num" w:pos="1440"/>
        </w:tabs>
        <w:ind w:left="1440" w:hanging="360"/>
      </w:pPr>
      <w:rPr>
        <w:rFonts w:cs="Times New Roman"/>
        <w:i w:val="0"/>
      </w:rPr>
    </w:lvl>
    <w:lvl w:ilvl="2" w:tplc="82F44224">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637F47BC"/>
    <w:multiLevelType w:val="hybridMultilevel"/>
    <w:tmpl w:val="8BBE7188"/>
    <w:lvl w:ilvl="0" w:tplc="B92A37CA">
      <w:start w:val="1"/>
      <w:numFmt w:val="upperRoman"/>
      <w:lvlText w:val="%1."/>
      <w:lvlJc w:val="left"/>
      <w:pPr>
        <w:ind w:left="1080" w:hanging="720"/>
      </w:pPr>
      <w:rPr>
        <w:rFonts w:hint="default"/>
        <w:i w:val="0"/>
        <w:sz w:val="28"/>
        <w:szCs w:val="28"/>
      </w:rPr>
    </w:lvl>
    <w:lvl w:ilvl="1" w:tplc="0DB663E8">
      <w:start w:val="1"/>
      <w:numFmt w:val="lowerLetter"/>
      <w:lvlText w:val="%2."/>
      <w:lvlJc w:val="left"/>
      <w:pPr>
        <w:ind w:left="1440" w:hanging="360"/>
      </w:pPr>
      <w:rPr>
        <w:i w:val="0"/>
        <w:sz w:val="28"/>
        <w:szCs w:val="28"/>
      </w:rPr>
    </w:lvl>
    <w:lvl w:ilvl="2" w:tplc="470AA104">
      <w:start w:val="1"/>
      <w:numFmt w:val="lowerRoman"/>
      <w:lvlText w:val="%3."/>
      <w:lvlJc w:val="right"/>
      <w:pPr>
        <w:ind w:left="2160" w:hanging="180"/>
      </w:pPr>
      <w:rPr>
        <w:i w:val="0"/>
        <w:sz w:val="28"/>
        <w:szCs w:val="28"/>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734792"/>
    <w:multiLevelType w:val="hybridMultilevel"/>
    <w:tmpl w:val="BBF2A5C0"/>
    <w:lvl w:ilvl="0" w:tplc="CB922E96">
      <w:start w:val="1"/>
      <w:numFmt w:val="lowerLetter"/>
      <w:lvlText w:val="%1."/>
      <w:lvlJc w:val="left"/>
      <w:pPr>
        <w:tabs>
          <w:tab w:val="num" w:pos="1440"/>
        </w:tabs>
        <w:ind w:left="1440" w:hanging="360"/>
      </w:pPr>
      <w:rPr>
        <w:rFonts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
  </w:num>
  <w:num w:numId="3">
    <w:abstractNumId w:val="3"/>
  </w:num>
  <w:num w:numId="4">
    <w:abstractNumId w:val="5"/>
  </w:num>
  <w:num w:numId="5">
    <w:abstractNumId w:val="6"/>
  </w:num>
  <w:num w:numId="6">
    <w:abstractNumId w:val="8"/>
  </w:num>
  <w:num w:numId="7">
    <w:abstractNumId w:val="2"/>
  </w:num>
  <w:num w:numId="8">
    <w:abstractNumId w:val="0"/>
  </w:num>
  <w:num w:numId="9">
    <w:abstractNumId w:val="1"/>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embedSystemFonts/>
  <w:proofState w:spelling="clean" w:grammar="clean"/>
  <w:stylePaneFormatFilter w:val="3F01"/>
  <w:defaultTabStop w:val="720"/>
  <w:drawingGridHorizontalSpacing w:val="187"/>
  <w:drawingGridVerticalSpacing w:val="187"/>
  <w:characterSpacingControl w:val="doNotCompress"/>
  <w:footnotePr>
    <w:footnote w:id="-1"/>
    <w:footnote w:id="0"/>
  </w:footnotePr>
  <w:endnotePr>
    <w:endnote w:id="-1"/>
    <w:endnote w:id="0"/>
  </w:endnotePr>
  <w:compat/>
  <w:rsids>
    <w:rsidRoot w:val="00556826"/>
    <w:rsid w:val="000048E6"/>
    <w:rsid w:val="00004A61"/>
    <w:rsid w:val="00013FBF"/>
    <w:rsid w:val="000171A2"/>
    <w:rsid w:val="00022F71"/>
    <w:rsid w:val="00041FC7"/>
    <w:rsid w:val="00044C50"/>
    <w:rsid w:val="00045BF2"/>
    <w:rsid w:val="000478C6"/>
    <w:rsid w:val="00053870"/>
    <w:rsid w:val="000546F9"/>
    <w:rsid w:val="00072982"/>
    <w:rsid w:val="0008059C"/>
    <w:rsid w:val="00080E5E"/>
    <w:rsid w:val="00085064"/>
    <w:rsid w:val="00092F13"/>
    <w:rsid w:val="000B5B5E"/>
    <w:rsid w:val="000B639B"/>
    <w:rsid w:val="000C0631"/>
    <w:rsid w:val="000C41DA"/>
    <w:rsid w:val="000D65D0"/>
    <w:rsid w:val="000E04C6"/>
    <w:rsid w:val="000E1606"/>
    <w:rsid w:val="000F23E2"/>
    <w:rsid w:val="000F5D17"/>
    <w:rsid w:val="001047B1"/>
    <w:rsid w:val="00107DBA"/>
    <w:rsid w:val="0011105C"/>
    <w:rsid w:val="00112725"/>
    <w:rsid w:val="0012304A"/>
    <w:rsid w:val="00126389"/>
    <w:rsid w:val="00131B9A"/>
    <w:rsid w:val="00142274"/>
    <w:rsid w:val="001442E1"/>
    <w:rsid w:val="001727C0"/>
    <w:rsid w:val="001734BD"/>
    <w:rsid w:val="001770A0"/>
    <w:rsid w:val="0018292E"/>
    <w:rsid w:val="00183635"/>
    <w:rsid w:val="00197310"/>
    <w:rsid w:val="001A1635"/>
    <w:rsid w:val="001A5392"/>
    <w:rsid w:val="001B6EE4"/>
    <w:rsid w:val="001B7AD5"/>
    <w:rsid w:val="001C57A9"/>
    <w:rsid w:val="001D66AD"/>
    <w:rsid w:val="001F6BDC"/>
    <w:rsid w:val="00213E47"/>
    <w:rsid w:val="00214B9B"/>
    <w:rsid w:val="0021548C"/>
    <w:rsid w:val="00221C16"/>
    <w:rsid w:val="002227C2"/>
    <w:rsid w:val="00224D3B"/>
    <w:rsid w:val="00230AD3"/>
    <w:rsid w:val="0023223C"/>
    <w:rsid w:val="00232332"/>
    <w:rsid w:val="00271DD1"/>
    <w:rsid w:val="0027341C"/>
    <w:rsid w:val="00284245"/>
    <w:rsid w:val="00284FB0"/>
    <w:rsid w:val="0029497B"/>
    <w:rsid w:val="002C433F"/>
    <w:rsid w:val="002D5E0B"/>
    <w:rsid w:val="002F1F4D"/>
    <w:rsid w:val="002F4714"/>
    <w:rsid w:val="002F6904"/>
    <w:rsid w:val="00302213"/>
    <w:rsid w:val="0030575F"/>
    <w:rsid w:val="00321845"/>
    <w:rsid w:val="003225D1"/>
    <w:rsid w:val="00322F14"/>
    <w:rsid w:val="00325423"/>
    <w:rsid w:val="00327BAD"/>
    <w:rsid w:val="003324EC"/>
    <w:rsid w:val="00337EDD"/>
    <w:rsid w:val="00341823"/>
    <w:rsid w:val="0034663A"/>
    <w:rsid w:val="00346F33"/>
    <w:rsid w:val="00351FB1"/>
    <w:rsid w:val="003545D4"/>
    <w:rsid w:val="00365D10"/>
    <w:rsid w:val="00375313"/>
    <w:rsid w:val="00381120"/>
    <w:rsid w:val="003824EC"/>
    <w:rsid w:val="00382729"/>
    <w:rsid w:val="00393BEE"/>
    <w:rsid w:val="003A0014"/>
    <w:rsid w:val="003A07AF"/>
    <w:rsid w:val="003A20A3"/>
    <w:rsid w:val="003A2701"/>
    <w:rsid w:val="003A2FEA"/>
    <w:rsid w:val="003B26EC"/>
    <w:rsid w:val="003C2C5A"/>
    <w:rsid w:val="003D5264"/>
    <w:rsid w:val="003F1F09"/>
    <w:rsid w:val="003F3490"/>
    <w:rsid w:val="004051B8"/>
    <w:rsid w:val="004136FF"/>
    <w:rsid w:val="0041509F"/>
    <w:rsid w:val="00417F6A"/>
    <w:rsid w:val="00420612"/>
    <w:rsid w:val="00422B75"/>
    <w:rsid w:val="00436032"/>
    <w:rsid w:val="004412CC"/>
    <w:rsid w:val="0044253E"/>
    <w:rsid w:val="00450958"/>
    <w:rsid w:val="004514B8"/>
    <w:rsid w:val="004620C6"/>
    <w:rsid w:val="004624D2"/>
    <w:rsid w:val="00475213"/>
    <w:rsid w:val="0048489C"/>
    <w:rsid w:val="0048491F"/>
    <w:rsid w:val="004A5425"/>
    <w:rsid w:val="004A6878"/>
    <w:rsid w:val="004C03D7"/>
    <w:rsid w:val="004D4478"/>
    <w:rsid w:val="004E1265"/>
    <w:rsid w:val="004E1A8F"/>
    <w:rsid w:val="004E4C74"/>
    <w:rsid w:val="004F1ACE"/>
    <w:rsid w:val="004F76B7"/>
    <w:rsid w:val="00501750"/>
    <w:rsid w:val="00520392"/>
    <w:rsid w:val="00524C9B"/>
    <w:rsid w:val="005270F8"/>
    <w:rsid w:val="00527EBA"/>
    <w:rsid w:val="00532971"/>
    <w:rsid w:val="00532D83"/>
    <w:rsid w:val="005444F5"/>
    <w:rsid w:val="005511CC"/>
    <w:rsid w:val="00556826"/>
    <w:rsid w:val="005573A7"/>
    <w:rsid w:val="00557861"/>
    <w:rsid w:val="00564AF0"/>
    <w:rsid w:val="0057330C"/>
    <w:rsid w:val="00593289"/>
    <w:rsid w:val="005C133A"/>
    <w:rsid w:val="005C16C3"/>
    <w:rsid w:val="005D4848"/>
    <w:rsid w:val="005D5880"/>
    <w:rsid w:val="005D7191"/>
    <w:rsid w:val="005E2664"/>
    <w:rsid w:val="005E3C49"/>
    <w:rsid w:val="005E514F"/>
    <w:rsid w:val="005F1832"/>
    <w:rsid w:val="005F3389"/>
    <w:rsid w:val="00600BCF"/>
    <w:rsid w:val="00605604"/>
    <w:rsid w:val="0061283A"/>
    <w:rsid w:val="006133CA"/>
    <w:rsid w:val="00615EB0"/>
    <w:rsid w:val="00623B9B"/>
    <w:rsid w:val="00630FBD"/>
    <w:rsid w:val="0063281D"/>
    <w:rsid w:val="00635CAE"/>
    <w:rsid w:val="006363FA"/>
    <w:rsid w:val="006374B2"/>
    <w:rsid w:val="006413D8"/>
    <w:rsid w:val="00642716"/>
    <w:rsid w:val="00672C36"/>
    <w:rsid w:val="00683066"/>
    <w:rsid w:val="006861A9"/>
    <w:rsid w:val="006953BF"/>
    <w:rsid w:val="00697419"/>
    <w:rsid w:val="006A0B2F"/>
    <w:rsid w:val="006B0DE2"/>
    <w:rsid w:val="006B53C9"/>
    <w:rsid w:val="006D1BBE"/>
    <w:rsid w:val="006D2A32"/>
    <w:rsid w:val="006D2F6F"/>
    <w:rsid w:val="006E3900"/>
    <w:rsid w:val="00700161"/>
    <w:rsid w:val="00701CE2"/>
    <w:rsid w:val="00722A3C"/>
    <w:rsid w:val="007313D8"/>
    <w:rsid w:val="007528CB"/>
    <w:rsid w:val="007620E4"/>
    <w:rsid w:val="0077362D"/>
    <w:rsid w:val="00790FED"/>
    <w:rsid w:val="00793437"/>
    <w:rsid w:val="00793DD5"/>
    <w:rsid w:val="007A32B3"/>
    <w:rsid w:val="007C41B9"/>
    <w:rsid w:val="007C4B16"/>
    <w:rsid w:val="007C6C15"/>
    <w:rsid w:val="007D2E94"/>
    <w:rsid w:val="007D5964"/>
    <w:rsid w:val="007E5DD4"/>
    <w:rsid w:val="007F03FF"/>
    <w:rsid w:val="007F6D3A"/>
    <w:rsid w:val="00801A77"/>
    <w:rsid w:val="0080446A"/>
    <w:rsid w:val="0081043C"/>
    <w:rsid w:val="00815471"/>
    <w:rsid w:val="0082225C"/>
    <w:rsid w:val="00851A54"/>
    <w:rsid w:val="008673CF"/>
    <w:rsid w:val="00875290"/>
    <w:rsid w:val="008A283D"/>
    <w:rsid w:val="008A5906"/>
    <w:rsid w:val="008C373C"/>
    <w:rsid w:val="008D46E0"/>
    <w:rsid w:val="008D6ABC"/>
    <w:rsid w:val="008E547E"/>
    <w:rsid w:val="008F20E0"/>
    <w:rsid w:val="008F344F"/>
    <w:rsid w:val="008F6F29"/>
    <w:rsid w:val="0090275F"/>
    <w:rsid w:val="00905C44"/>
    <w:rsid w:val="00907931"/>
    <w:rsid w:val="0091092C"/>
    <w:rsid w:val="00942B56"/>
    <w:rsid w:val="00946CE7"/>
    <w:rsid w:val="009513F4"/>
    <w:rsid w:val="00956935"/>
    <w:rsid w:val="00957C36"/>
    <w:rsid w:val="00965467"/>
    <w:rsid w:val="009744A0"/>
    <w:rsid w:val="00980B9A"/>
    <w:rsid w:val="009A1D5C"/>
    <w:rsid w:val="009C718C"/>
    <w:rsid w:val="009D7FBB"/>
    <w:rsid w:val="009E2D37"/>
    <w:rsid w:val="009E3FE5"/>
    <w:rsid w:val="009E48C5"/>
    <w:rsid w:val="009F61AE"/>
    <w:rsid w:val="00A00465"/>
    <w:rsid w:val="00A05452"/>
    <w:rsid w:val="00A360FB"/>
    <w:rsid w:val="00A43A75"/>
    <w:rsid w:val="00A43F5D"/>
    <w:rsid w:val="00A57281"/>
    <w:rsid w:val="00A75A43"/>
    <w:rsid w:val="00A774DE"/>
    <w:rsid w:val="00A90190"/>
    <w:rsid w:val="00A91E7C"/>
    <w:rsid w:val="00A9444C"/>
    <w:rsid w:val="00AC18B1"/>
    <w:rsid w:val="00AC3BA5"/>
    <w:rsid w:val="00AF3477"/>
    <w:rsid w:val="00AF5179"/>
    <w:rsid w:val="00B21A94"/>
    <w:rsid w:val="00B238D1"/>
    <w:rsid w:val="00B26FD3"/>
    <w:rsid w:val="00B323CB"/>
    <w:rsid w:val="00B416CC"/>
    <w:rsid w:val="00B43C48"/>
    <w:rsid w:val="00B44A21"/>
    <w:rsid w:val="00B61CF9"/>
    <w:rsid w:val="00B64976"/>
    <w:rsid w:val="00B95E66"/>
    <w:rsid w:val="00BB2075"/>
    <w:rsid w:val="00BD075E"/>
    <w:rsid w:val="00BD302A"/>
    <w:rsid w:val="00BD607F"/>
    <w:rsid w:val="00BF59E5"/>
    <w:rsid w:val="00C047B6"/>
    <w:rsid w:val="00C07E4E"/>
    <w:rsid w:val="00C155D2"/>
    <w:rsid w:val="00C157CD"/>
    <w:rsid w:val="00C15868"/>
    <w:rsid w:val="00C2289A"/>
    <w:rsid w:val="00C22D13"/>
    <w:rsid w:val="00C26EC4"/>
    <w:rsid w:val="00C342EB"/>
    <w:rsid w:val="00C4412C"/>
    <w:rsid w:val="00C44598"/>
    <w:rsid w:val="00C477A3"/>
    <w:rsid w:val="00C66D31"/>
    <w:rsid w:val="00C71D68"/>
    <w:rsid w:val="00C866B4"/>
    <w:rsid w:val="00CC326E"/>
    <w:rsid w:val="00CF3D77"/>
    <w:rsid w:val="00CF5BD3"/>
    <w:rsid w:val="00D016FB"/>
    <w:rsid w:val="00D02F88"/>
    <w:rsid w:val="00D11517"/>
    <w:rsid w:val="00D2104D"/>
    <w:rsid w:val="00D31342"/>
    <w:rsid w:val="00D32D54"/>
    <w:rsid w:val="00D50CA2"/>
    <w:rsid w:val="00D5244F"/>
    <w:rsid w:val="00D53C1F"/>
    <w:rsid w:val="00D6238A"/>
    <w:rsid w:val="00D643EC"/>
    <w:rsid w:val="00D676E1"/>
    <w:rsid w:val="00D86CD6"/>
    <w:rsid w:val="00D8734F"/>
    <w:rsid w:val="00D941A7"/>
    <w:rsid w:val="00D95AE8"/>
    <w:rsid w:val="00DA5809"/>
    <w:rsid w:val="00DC2712"/>
    <w:rsid w:val="00DC4221"/>
    <w:rsid w:val="00DD1D04"/>
    <w:rsid w:val="00DD7664"/>
    <w:rsid w:val="00E00D8A"/>
    <w:rsid w:val="00E010EF"/>
    <w:rsid w:val="00E05181"/>
    <w:rsid w:val="00E17668"/>
    <w:rsid w:val="00E23793"/>
    <w:rsid w:val="00E26695"/>
    <w:rsid w:val="00E30BD1"/>
    <w:rsid w:val="00E4081E"/>
    <w:rsid w:val="00E55A25"/>
    <w:rsid w:val="00E60142"/>
    <w:rsid w:val="00E6535C"/>
    <w:rsid w:val="00E70F92"/>
    <w:rsid w:val="00E82D66"/>
    <w:rsid w:val="00E87F3D"/>
    <w:rsid w:val="00EB4587"/>
    <w:rsid w:val="00EC0388"/>
    <w:rsid w:val="00ED1B7E"/>
    <w:rsid w:val="00ED1EFD"/>
    <w:rsid w:val="00ED2DB2"/>
    <w:rsid w:val="00ED7FCD"/>
    <w:rsid w:val="00EE0AE2"/>
    <w:rsid w:val="00EF017C"/>
    <w:rsid w:val="00EF7FDC"/>
    <w:rsid w:val="00F02D1F"/>
    <w:rsid w:val="00F02F52"/>
    <w:rsid w:val="00F059F7"/>
    <w:rsid w:val="00F1609A"/>
    <w:rsid w:val="00F22596"/>
    <w:rsid w:val="00F34A73"/>
    <w:rsid w:val="00F408D4"/>
    <w:rsid w:val="00F47E3B"/>
    <w:rsid w:val="00F519BD"/>
    <w:rsid w:val="00F63688"/>
    <w:rsid w:val="00F72EBD"/>
    <w:rsid w:val="00F94EF8"/>
    <w:rsid w:val="00F96FA3"/>
    <w:rsid w:val="00FB1D87"/>
    <w:rsid w:val="00FB3663"/>
    <w:rsid w:val="00FB55A3"/>
    <w:rsid w:val="00FC3ACB"/>
    <w:rsid w:val="00FC7650"/>
    <w:rsid w:val="00FE531D"/>
    <w:rsid w:val="00FF0D7F"/>
    <w:rsid w:val="00FF1AA7"/>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511">
      <v:stroke weight="1.5pt"/>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D5244F"/>
    <w:rPr>
      <w:rFonts w:ascii="Tahoma" w:hAnsi="Tahoma" w:cs="Tahoma"/>
      <w:sz w:val="16"/>
      <w:szCs w:val="16"/>
    </w:rPr>
  </w:style>
  <w:style w:type="character" w:customStyle="1" w:styleId="BalloonTextChar">
    <w:name w:val="Balloon Text Char"/>
    <w:basedOn w:val="DefaultParagraphFont"/>
    <w:link w:val="BalloonText"/>
    <w:rsid w:val="00D5244F"/>
    <w:rPr>
      <w:rFonts w:ascii="Tahoma" w:hAnsi="Tahoma" w:cs="Tahoma"/>
      <w:sz w:val="16"/>
      <w:szCs w:val="16"/>
    </w:rPr>
  </w:style>
  <w:style w:type="character" w:styleId="PlaceholderText">
    <w:name w:val="Placeholder Text"/>
    <w:basedOn w:val="DefaultParagraphFont"/>
    <w:uiPriority w:val="99"/>
    <w:semiHidden/>
    <w:rsid w:val="00D5244F"/>
    <w:rPr>
      <w:color w:val="808080"/>
    </w:rPr>
  </w:style>
  <w:style w:type="paragraph" w:styleId="FootnoteText">
    <w:name w:val="footnote text"/>
    <w:basedOn w:val="Normal"/>
    <w:link w:val="FootnoteTextChar"/>
    <w:uiPriority w:val="99"/>
    <w:rsid w:val="0091092C"/>
    <w:rPr>
      <w:sz w:val="20"/>
      <w:szCs w:val="20"/>
    </w:rPr>
  </w:style>
  <w:style w:type="character" w:customStyle="1" w:styleId="FootnoteTextChar">
    <w:name w:val="Footnote Text Char"/>
    <w:basedOn w:val="DefaultParagraphFont"/>
    <w:link w:val="FootnoteText"/>
    <w:uiPriority w:val="99"/>
    <w:rsid w:val="0091092C"/>
  </w:style>
  <w:style w:type="character" w:styleId="FootnoteReference">
    <w:name w:val="footnote reference"/>
    <w:basedOn w:val="DefaultParagraphFont"/>
    <w:uiPriority w:val="99"/>
    <w:rsid w:val="0091092C"/>
    <w:rPr>
      <w:vertAlign w:val="superscript"/>
    </w:rPr>
  </w:style>
  <w:style w:type="character" w:customStyle="1" w:styleId="apple-style-span">
    <w:name w:val="apple-style-span"/>
    <w:basedOn w:val="DefaultParagraphFont"/>
    <w:rsid w:val="008D46E0"/>
  </w:style>
  <w:style w:type="character" w:styleId="Hyperlink">
    <w:name w:val="Hyperlink"/>
    <w:basedOn w:val="DefaultParagraphFont"/>
    <w:uiPriority w:val="99"/>
    <w:rsid w:val="00593289"/>
    <w:rPr>
      <w:rFonts w:cs="Times New Roman"/>
      <w:color w:val="0000FF"/>
      <w:u w:val="single"/>
    </w:rPr>
  </w:style>
  <w:style w:type="paragraph" w:styleId="ListParagraph">
    <w:name w:val="List Paragraph"/>
    <w:basedOn w:val="Normal"/>
    <w:uiPriority w:val="34"/>
    <w:qFormat/>
    <w:rsid w:val="00F94EF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A6ED3-C5CD-44C1-9E95-4F34951A9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753</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dyoungberg</cp:lastModifiedBy>
  <cp:revision>5</cp:revision>
  <cp:lastPrinted>2013-04-26T15:24:00Z</cp:lastPrinted>
  <dcterms:created xsi:type="dcterms:W3CDTF">2012-12-23T05:59:00Z</dcterms:created>
  <dcterms:modified xsi:type="dcterms:W3CDTF">2013-04-26T16:08:00Z</dcterms:modified>
</cp:coreProperties>
</file>