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3C" w:rsidRDefault="0081043C" w:rsidP="0081043C">
      <w:pPr>
        <w:jc w:val="both"/>
      </w:pPr>
      <w:r>
        <w:t>David Youngberg</w:t>
      </w:r>
    </w:p>
    <w:p w:rsidR="0081043C" w:rsidRDefault="0081043C" w:rsidP="0081043C">
      <w:pPr>
        <w:jc w:val="both"/>
      </w:pPr>
      <w:r>
        <w:t>Econ 304—Bethany College</w:t>
      </w:r>
    </w:p>
    <w:p w:rsidR="0081043C" w:rsidRDefault="0081043C" w:rsidP="0081043C">
      <w:pPr>
        <w:jc w:val="both"/>
      </w:pPr>
    </w:p>
    <w:p w:rsidR="0081043C" w:rsidRPr="00E26695" w:rsidRDefault="0081043C" w:rsidP="0081043C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</w:t>
      </w:r>
      <w:r>
        <w:rPr>
          <w:b/>
          <w:smallCaps/>
          <w:sz w:val="32"/>
          <w:szCs w:val="32"/>
        </w:rPr>
        <w:t>2</w:t>
      </w:r>
      <w:r w:rsidR="007F40BA">
        <w:rPr>
          <w:b/>
          <w:smallCaps/>
          <w:sz w:val="32"/>
          <w:szCs w:val="32"/>
        </w:rPr>
        <w:t>8</w:t>
      </w:r>
      <w:r>
        <w:rPr>
          <w:b/>
          <w:smallCaps/>
          <w:sz w:val="32"/>
          <w:szCs w:val="32"/>
        </w:rPr>
        <w:t xml:space="preserve">: </w:t>
      </w:r>
      <w:r w:rsidR="00C6605B">
        <w:rPr>
          <w:b/>
          <w:smallCaps/>
          <w:sz w:val="32"/>
          <w:szCs w:val="32"/>
        </w:rPr>
        <w:t>Types of Interest</w:t>
      </w:r>
      <w:r w:rsidR="00656346">
        <w:rPr>
          <w:b/>
          <w:smallCaps/>
          <w:sz w:val="32"/>
          <w:szCs w:val="32"/>
        </w:rPr>
        <w:t xml:space="preserve"> Rates</w:t>
      </w:r>
    </w:p>
    <w:p w:rsidR="0081043C" w:rsidRDefault="0081043C" w:rsidP="0081043C">
      <w:pPr>
        <w:jc w:val="center"/>
      </w:pPr>
    </w:p>
    <w:p w:rsidR="0081043C" w:rsidRDefault="0017109E" w:rsidP="0081043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discount rate &amp; FFR</w:t>
      </w:r>
    </w:p>
    <w:p w:rsidR="0017109E" w:rsidRDefault="0017109E" w:rsidP="0017109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i/>
          <w:sz w:val="28"/>
          <w:szCs w:val="28"/>
        </w:rPr>
        <w:t>discount rate</w:t>
      </w:r>
      <w:r>
        <w:rPr>
          <w:sz w:val="28"/>
          <w:szCs w:val="28"/>
        </w:rPr>
        <w:t xml:space="preserve"> is the rate at which banks lend from the Federal Reserve. This is the rate the Fed sets explicitly.</w:t>
      </w:r>
    </w:p>
    <w:p w:rsidR="0017109E" w:rsidRPr="00285D0D" w:rsidRDefault="001C183C" w:rsidP="00285D0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</w:t>
      </w:r>
      <w:r w:rsidR="0017109E">
        <w:rPr>
          <w:sz w:val="28"/>
          <w:szCs w:val="28"/>
        </w:rPr>
        <w:t xml:space="preserve"> March 2</w:t>
      </w:r>
      <w:r w:rsidR="00B41BFB">
        <w:rPr>
          <w:sz w:val="28"/>
          <w:szCs w:val="28"/>
        </w:rPr>
        <w:t>8</w:t>
      </w:r>
      <w:r w:rsidR="0017109E">
        <w:rPr>
          <w:sz w:val="28"/>
          <w:szCs w:val="28"/>
        </w:rPr>
        <w:t xml:space="preserve">, 2012, it </w:t>
      </w:r>
      <w:r>
        <w:rPr>
          <w:sz w:val="28"/>
          <w:szCs w:val="28"/>
        </w:rPr>
        <w:t>was</w:t>
      </w:r>
      <w:r w:rsidR="0017109E">
        <w:rPr>
          <w:sz w:val="28"/>
          <w:szCs w:val="28"/>
        </w:rPr>
        <w:t xml:space="preserve"> 0.</w:t>
      </w:r>
      <w:r w:rsidR="0017109E" w:rsidRPr="00285D0D">
        <w:rPr>
          <w:sz w:val="28"/>
          <w:szCs w:val="28"/>
        </w:rPr>
        <w:t>75%.</w:t>
      </w:r>
    </w:p>
    <w:p w:rsidR="0017109E" w:rsidRDefault="0017109E" w:rsidP="0017109E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We can use β to determine the risk-adjusted discount rate which is equal to:</w:t>
      </w:r>
    </w:p>
    <w:p w:rsidR="0017109E" w:rsidRDefault="0017109E" w:rsidP="0017109E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</w:t>
      </w:r>
      <w:r w:rsidRPr="006B0DE2">
        <w:rPr>
          <w:sz w:val="28"/>
          <w:szCs w:val="28"/>
          <w:vertAlign w:val="subscript"/>
        </w:rPr>
        <w:t>f</w:t>
      </w:r>
      <w:proofErr w:type="spellEnd"/>
      <w:proofErr w:type="gramEnd"/>
      <w:r>
        <w:rPr>
          <w:sz w:val="28"/>
          <w:szCs w:val="28"/>
        </w:rPr>
        <w:t xml:space="preserve"> + β(</w:t>
      </w:r>
      <w:proofErr w:type="spellStart"/>
      <w:r>
        <w:rPr>
          <w:sz w:val="28"/>
          <w:szCs w:val="28"/>
        </w:rPr>
        <w:t>r</w:t>
      </w:r>
      <w:r w:rsidRPr="006B0DE2">
        <w:rPr>
          <w:sz w:val="28"/>
          <w:szCs w:val="28"/>
          <w:vertAlign w:val="subscript"/>
        </w:rPr>
        <w:t>m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r</w:t>
      </w:r>
      <w:r w:rsidRPr="006B0DE2">
        <w:rPr>
          <w:sz w:val="28"/>
          <w:szCs w:val="28"/>
          <w:vertAlign w:val="subscript"/>
        </w:rPr>
        <w:t>f</w:t>
      </w:r>
      <w:proofErr w:type="spellEnd"/>
      <w:r>
        <w:rPr>
          <w:sz w:val="28"/>
          <w:szCs w:val="28"/>
        </w:rPr>
        <w:t>)</w:t>
      </w:r>
    </w:p>
    <w:p w:rsidR="0017109E" w:rsidRPr="00C22D13" w:rsidRDefault="0017109E" w:rsidP="0017109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Where </w:t>
      </w:r>
      <w:proofErr w:type="spellStart"/>
      <w:proofErr w:type="gramStart"/>
      <w:r>
        <w:rPr>
          <w:sz w:val="28"/>
          <w:szCs w:val="28"/>
        </w:rPr>
        <w:t>r</w:t>
      </w:r>
      <w:r w:rsidRPr="006B0DE2">
        <w:rPr>
          <w:sz w:val="28"/>
          <w:szCs w:val="28"/>
          <w:vertAlign w:val="subscript"/>
        </w:rPr>
        <w:t>f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17109E">
        <w:rPr>
          <w:sz w:val="28"/>
          <w:szCs w:val="28"/>
        </w:rPr>
        <w:t>is the discount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rate.</w:t>
      </w:r>
    </w:p>
    <w:p w:rsidR="004051B8" w:rsidRDefault="0017109E" w:rsidP="0081043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i/>
          <w:sz w:val="28"/>
          <w:szCs w:val="28"/>
        </w:rPr>
        <w:t>Federal Funds Rate (FFR)</w:t>
      </w:r>
      <w:r>
        <w:rPr>
          <w:sz w:val="28"/>
          <w:szCs w:val="28"/>
        </w:rPr>
        <w:t xml:space="preserve"> is the interest rate banks charge each other for overnight loans. Despite its name, the Fed has little </w:t>
      </w:r>
      <w:r w:rsidR="00B956C8">
        <w:rPr>
          <w:sz w:val="28"/>
          <w:szCs w:val="28"/>
        </w:rPr>
        <w:t>direct control over it</w:t>
      </w:r>
      <w:r>
        <w:rPr>
          <w:sz w:val="28"/>
          <w:szCs w:val="28"/>
        </w:rPr>
        <w:t xml:space="preserve">. However, the discount rate—which the Fed controls </w:t>
      </w:r>
      <w:proofErr w:type="gramStart"/>
      <w:r>
        <w:rPr>
          <w:sz w:val="28"/>
          <w:szCs w:val="28"/>
        </w:rPr>
        <w:t>directly—</w:t>
      </w:r>
      <w:proofErr w:type="gramEnd"/>
      <w:r>
        <w:rPr>
          <w:sz w:val="28"/>
          <w:szCs w:val="28"/>
        </w:rPr>
        <w:t>if often very close to FFR.</w:t>
      </w:r>
    </w:p>
    <w:p w:rsidR="006B0DE2" w:rsidRDefault="0017109E" w:rsidP="0017109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What’s the point of borrowing for just one night? Banks have reserve requirements—the amount of cash they must keep on hand. These loans are to make up shortfalls in reserves.</w:t>
      </w:r>
    </w:p>
    <w:p w:rsidR="00285D0D" w:rsidRDefault="00285D0D" w:rsidP="0017109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FFR influences many other rates that banks charge, including how much to charge for credit cards and home loans.</w:t>
      </w:r>
    </w:p>
    <w:p w:rsidR="0017109E" w:rsidRDefault="001C183C" w:rsidP="0017109E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17109E">
        <w:rPr>
          <w:sz w:val="28"/>
          <w:szCs w:val="28"/>
        </w:rPr>
        <w:t>March 2</w:t>
      </w:r>
      <w:r w:rsidR="00B41BFB">
        <w:rPr>
          <w:sz w:val="28"/>
          <w:szCs w:val="28"/>
        </w:rPr>
        <w:t>8</w:t>
      </w:r>
      <w:r w:rsidR="0017109E">
        <w:rPr>
          <w:sz w:val="28"/>
          <w:szCs w:val="28"/>
        </w:rPr>
        <w:t xml:space="preserve">, 2012, the FFR </w:t>
      </w:r>
      <w:r>
        <w:rPr>
          <w:sz w:val="28"/>
          <w:szCs w:val="28"/>
        </w:rPr>
        <w:t>was</w:t>
      </w:r>
      <w:r w:rsidR="0017109E">
        <w:rPr>
          <w:sz w:val="28"/>
          <w:szCs w:val="28"/>
        </w:rPr>
        <w:t xml:space="preserve"> between 0.0% and 0.25%</w:t>
      </w:r>
      <w:r>
        <w:rPr>
          <w:sz w:val="28"/>
          <w:szCs w:val="28"/>
        </w:rPr>
        <w:t>.</w:t>
      </w:r>
    </w:p>
    <w:p w:rsidR="0017109E" w:rsidRDefault="00F818E3" w:rsidP="001710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Bills and Bonds</w:t>
      </w:r>
    </w:p>
    <w:p w:rsidR="00F818E3" w:rsidRDefault="00F818E3" w:rsidP="00F818E3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Treasury bill rate</w:t>
      </w:r>
      <w:r>
        <w:rPr>
          <w:sz w:val="28"/>
          <w:szCs w:val="28"/>
        </w:rPr>
        <w:t>—A T-bill is a short term loan to the government, one t</w:t>
      </w:r>
      <w:r w:rsidR="001C183C">
        <w:rPr>
          <w:sz w:val="28"/>
          <w:szCs w:val="28"/>
        </w:rPr>
        <w:t>hat pays off in a year or less.</w:t>
      </w:r>
    </w:p>
    <w:p w:rsidR="001C183C" w:rsidRDefault="001C183C" w:rsidP="001C183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 March 2</w:t>
      </w:r>
      <w:r w:rsidR="00B41BFB">
        <w:rPr>
          <w:sz w:val="28"/>
          <w:szCs w:val="28"/>
        </w:rPr>
        <w:t>8</w:t>
      </w:r>
      <w:r>
        <w:rPr>
          <w:sz w:val="28"/>
          <w:szCs w:val="28"/>
        </w:rPr>
        <w:t xml:space="preserve">, 2012, the yield on a </w:t>
      </w:r>
      <w:r w:rsidR="00B41BFB">
        <w:rPr>
          <w:sz w:val="28"/>
          <w:szCs w:val="28"/>
        </w:rPr>
        <w:t xml:space="preserve">90 day </w:t>
      </w:r>
      <w:r>
        <w:rPr>
          <w:sz w:val="28"/>
          <w:szCs w:val="28"/>
        </w:rPr>
        <w:t>T-bill was 0.0</w:t>
      </w:r>
      <w:r w:rsidR="00633F8C">
        <w:rPr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1C183C" w:rsidRDefault="001C183C" w:rsidP="001C183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Treasury bond rate</w:t>
      </w:r>
      <w:r>
        <w:rPr>
          <w:sz w:val="28"/>
          <w:szCs w:val="28"/>
        </w:rPr>
        <w:t>—a T-bond is a long term loan to the government, one that pays off in more than a year (but no more than 30 years).</w:t>
      </w:r>
    </w:p>
    <w:p w:rsidR="001C183C" w:rsidRDefault="001C183C" w:rsidP="001C183C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 March 2</w:t>
      </w:r>
      <w:r w:rsidR="00B41BFB">
        <w:rPr>
          <w:sz w:val="28"/>
          <w:szCs w:val="28"/>
        </w:rPr>
        <w:t>8</w:t>
      </w:r>
      <w:r>
        <w:rPr>
          <w:sz w:val="28"/>
          <w:szCs w:val="28"/>
        </w:rPr>
        <w:t xml:space="preserve">, 2012, the yield on a </w:t>
      </w:r>
      <w:r w:rsidR="00B41BFB">
        <w:rPr>
          <w:sz w:val="28"/>
          <w:szCs w:val="28"/>
        </w:rPr>
        <w:t xml:space="preserve">30 year </w:t>
      </w:r>
      <w:r>
        <w:rPr>
          <w:sz w:val="28"/>
          <w:szCs w:val="28"/>
        </w:rPr>
        <w:t xml:space="preserve">T-bond was </w:t>
      </w:r>
      <w:r w:rsidR="00B41BFB">
        <w:rPr>
          <w:sz w:val="28"/>
          <w:szCs w:val="28"/>
        </w:rPr>
        <w:t>3.</w:t>
      </w:r>
      <w:r w:rsidR="00633F8C">
        <w:rPr>
          <w:sz w:val="28"/>
          <w:szCs w:val="28"/>
        </w:rPr>
        <w:t>0</w:t>
      </w:r>
      <w:r w:rsidR="00B41BFB">
        <w:rPr>
          <w:sz w:val="28"/>
          <w:szCs w:val="28"/>
        </w:rPr>
        <w:t>1%.</w:t>
      </w:r>
    </w:p>
    <w:p w:rsidR="00B41BFB" w:rsidRDefault="00656346" w:rsidP="00B41BFB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>
        <w:rPr>
          <w:i/>
          <w:sz w:val="28"/>
          <w:szCs w:val="28"/>
        </w:rPr>
        <w:t>yield curve</w:t>
      </w:r>
      <w:r>
        <w:rPr>
          <w:sz w:val="28"/>
          <w:szCs w:val="28"/>
        </w:rPr>
        <w:t xml:space="preserve"> illustrates the relation between time to maturity and rate of return (yield)</w:t>
      </w:r>
      <w:r w:rsidR="00B41BFB">
        <w:rPr>
          <w:sz w:val="28"/>
          <w:szCs w:val="28"/>
        </w:rPr>
        <w:t>.</w:t>
      </w:r>
      <w:r>
        <w:rPr>
          <w:sz w:val="28"/>
          <w:szCs w:val="28"/>
        </w:rPr>
        <w:t xml:space="preserve"> (This is for </w:t>
      </w:r>
      <w:r w:rsidR="00633F8C">
        <w:rPr>
          <w:sz w:val="28"/>
          <w:szCs w:val="28"/>
        </w:rPr>
        <w:t>April, 2013</w:t>
      </w:r>
      <w:r>
        <w:rPr>
          <w:sz w:val="28"/>
          <w:szCs w:val="28"/>
        </w:rPr>
        <w:t xml:space="preserve"> data.)</w:t>
      </w:r>
      <w:r>
        <w:rPr>
          <w:rStyle w:val="FootnoteReference"/>
          <w:sz w:val="28"/>
          <w:szCs w:val="28"/>
        </w:rPr>
        <w:footnoteReference w:id="1"/>
      </w:r>
    </w:p>
    <w:p w:rsidR="00656346" w:rsidRDefault="000923AD" w:rsidP="0065634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587240" cy="276606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276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4267" w:rsidRDefault="004B4267" w:rsidP="004B426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shape of the yield curve should strike you as a bit strange. For example, note that the ten-year bond (120 months) has a </w:t>
      </w:r>
      <w:r w:rsidR="000923AD">
        <w:rPr>
          <w:sz w:val="28"/>
          <w:szCs w:val="28"/>
        </w:rPr>
        <w:t>1.82</w:t>
      </w:r>
      <w:r>
        <w:rPr>
          <w:sz w:val="28"/>
          <w:szCs w:val="28"/>
        </w:rPr>
        <w:t>% yield and the thirty-year bond (360 months) has a 3.</w:t>
      </w:r>
      <w:r w:rsidR="000923AD">
        <w:rPr>
          <w:sz w:val="28"/>
          <w:szCs w:val="28"/>
        </w:rPr>
        <w:t>0</w:t>
      </w:r>
      <w:r>
        <w:rPr>
          <w:sz w:val="28"/>
          <w:szCs w:val="28"/>
        </w:rPr>
        <w:t>1% yield.</w:t>
      </w:r>
    </w:p>
    <w:p w:rsidR="004B4267" w:rsidRDefault="004B4267" w:rsidP="004B426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But a taking a ten-year bond three </w:t>
      </w:r>
      <w:r w:rsidR="0076796F">
        <w:rPr>
          <w:sz w:val="28"/>
          <w:szCs w:val="28"/>
        </w:rPr>
        <w:t xml:space="preserve">consecutive </w:t>
      </w:r>
      <w:r>
        <w:rPr>
          <w:sz w:val="28"/>
          <w:szCs w:val="28"/>
        </w:rPr>
        <w:t>times is the same as taking a thirty-year bond once.</w:t>
      </w:r>
    </w:p>
    <w:p w:rsidR="004B4267" w:rsidRDefault="004B4267" w:rsidP="004B426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Formally, P(1+i)</w:t>
      </w:r>
      <w:r w:rsidRPr="00783121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= [[P(1+i)</w:t>
      </w:r>
      <w:r w:rsidRPr="00783121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](1+i)</w:t>
      </w:r>
      <w:r w:rsidRPr="00783121"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>](1+i)</w:t>
      </w:r>
      <w:r w:rsidRPr="00783121">
        <w:rPr>
          <w:sz w:val="28"/>
          <w:szCs w:val="28"/>
          <w:vertAlign w:val="superscript"/>
        </w:rPr>
        <w:t>10</w:t>
      </w:r>
    </w:p>
    <w:p w:rsidR="004B4267" w:rsidRDefault="004B4267" w:rsidP="004B4267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 what’s going on? </w:t>
      </w:r>
    </w:p>
    <w:p w:rsidR="00656346" w:rsidRDefault="004B4267" w:rsidP="004B426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One explanation is the “lock in” effect. When you take three ten-year bonds, you have more flexibility than just taking one thirty-year bond. In the former, you can get out after ten or twenty years if something disastrous happens</w:t>
      </w:r>
      <w:r w:rsidR="005F620F">
        <w:rPr>
          <w:sz w:val="28"/>
          <w:szCs w:val="28"/>
        </w:rPr>
        <w:t xml:space="preserve"> and you need the money</w:t>
      </w:r>
      <w:r>
        <w:rPr>
          <w:sz w:val="28"/>
          <w:szCs w:val="28"/>
        </w:rPr>
        <w:t>.</w:t>
      </w:r>
    </w:p>
    <w:p w:rsidR="004B4267" w:rsidRDefault="004B4267" w:rsidP="004B426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Another explanation is that if the market is anticipating a rise in the risk-free rate, then investors need to be compensated more now before they are willing to lock themselves into a potentially lower rate. The greater the </w:t>
      </w:r>
      <w:proofErr w:type="gramStart"/>
      <w:r>
        <w:rPr>
          <w:sz w:val="28"/>
          <w:szCs w:val="28"/>
        </w:rPr>
        <w:t>certainty of the rise, the more interest rates have</w:t>
      </w:r>
      <w:proofErr w:type="gramEnd"/>
      <w:r>
        <w:rPr>
          <w:sz w:val="28"/>
          <w:szCs w:val="28"/>
        </w:rPr>
        <w:t xml:space="preserve"> to increase to get lenders now.</w:t>
      </w:r>
    </w:p>
    <w:p w:rsidR="004B4267" w:rsidRDefault="004B4267" w:rsidP="004B4267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It’s possible that when the opposite is occurring (anticipation of a lower rate), then it can overcome even the first explanation and we get a downward sloping yield curve.</w:t>
      </w:r>
    </w:p>
    <w:p w:rsidR="000923AD" w:rsidRPr="000923AD" w:rsidRDefault="004B4267" w:rsidP="000923A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Both these influences are exaggerated at shorter times to maturity so </w:t>
      </w:r>
      <w:r w:rsidR="00FB428E">
        <w:rPr>
          <w:sz w:val="28"/>
          <w:szCs w:val="28"/>
        </w:rPr>
        <w:t xml:space="preserve">the increase is </w:t>
      </w:r>
      <w:r w:rsidR="000923AD">
        <w:rPr>
          <w:sz w:val="28"/>
          <w:szCs w:val="28"/>
        </w:rPr>
        <w:t xml:space="preserve">(typically) </w:t>
      </w:r>
      <w:r w:rsidR="00FB428E">
        <w:rPr>
          <w:sz w:val="28"/>
          <w:szCs w:val="28"/>
        </w:rPr>
        <w:t>steeper here.</w:t>
      </w:r>
      <w:r w:rsidR="000923AD">
        <w:rPr>
          <w:sz w:val="28"/>
          <w:szCs w:val="28"/>
        </w:rPr>
        <w:t xml:space="preserve"> Interesting, it’s not in April of 2013. What does this suggest?</w:t>
      </w:r>
    </w:p>
    <w:sectPr w:rsidR="000923AD" w:rsidRPr="000923AD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4F2" w:rsidRDefault="004A04F2" w:rsidP="0091092C">
      <w:r>
        <w:separator/>
      </w:r>
    </w:p>
  </w:endnote>
  <w:endnote w:type="continuationSeparator" w:id="0">
    <w:p w:rsidR="004A04F2" w:rsidRDefault="004A04F2" w:rsidP="0091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4F2" w:rsidRDefault="004A04F2" w:rsidP="0091092C">
      <w:r>
        <w:separator/>
      </w:r>
    </w:p>
  </w:footnote>
  <w:footnote w:type="continuationSeparator" w:id="0">
    <w:p w:rsidR="004A04F2" w:rsidRDefault="004A04F2" w:rsidP="0091092C">
      <w:r>
        <w:continuationSeparator/>
      </w:r>
    </w:p>
  </w:footnote>
  <w:footnote w:id="1">
    <w:p w:rsidR="00656346" w:rsidRDefault="006563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http://www.treasury.gov/resource-center/data-chart-center/interest-rates/Pages/TextView.aspx?data=yield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C9"/>
    <w:multiLevelType w:val="hybridMultilevel"/>
    <w:tmpl w:val="5094981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5FA5"/>
    <w:multiLevelType w:val="hybridMultilevel"/>
    <w:tmpl w:val="02EA039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D15"/>
    <w:multiLevelType w:val="hybridMultilevel"/>
    <w:tmpl w:val="80A0E5C2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87C"/>
    <w:multiLevelType w:val="hybridMultilevel"/>
    <w:tmpl w:val="E87C6B92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A8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A1C71"/>
    <w:multiLevelType w:val="hybridMultilevel"/>
    <w:tmpl w:val="D5AE03EE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616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A88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873A8"/>
    <w:multiLevelType w:val="hybridMultilevel"/>
    <w:tmpl w:val="23409E3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20A24"/>
    <w:multiLevelType w:val="hybridMultilevel"/>
    <w:tmpl w:val="AB5C5F2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7F47BC"/>
    <w:multiLevelType w:val="hybridMultilevel"/>
    <w:tmpl w:val="8BBE7188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0DB663E8">
      <w:start w:val="1"/>
      <w:numFmt w:val="lowerLetter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470AA104">
      <w:start w:val="1"/>
      <w:numFmt w:val="lowerRoman"/>
      <w:lvlText w:val="%3."/>
      <w:lvlJc w:val="right"/>
      <w:pPr>
        <w:ind w:left="2160" w:hanging="180"/>
      </w:pPr>
      <w:rPr>
        <w:i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792"/>
    <w:multiLevelType w:val="hybridMultilevel"/>
    <w:tmpl w:val="BBF2A5C0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C00553"/>
    <w:multiLevelType w:val="hybridMultilevel"/>
    <w:tmpl w:val="D212964E"/>
    <w:lvl w:ilvl="0" w:tplc="F6165D2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48E6"/>
    <w:rsid w:val="00004A61"/>
    <w:rsid w:val="00013FBF"/>
    <w:rsid w:val="000171A2"/>
    <w:rsid w:val="00022F71"/>
    <w:rsid w:val="00041FC7"/>
    <w:rsid w:val="00044C50"/>
    <w:rsid w:val="00045BF2"/>
    <w:rsid w:val="000478C6"/>
    <w:rsid w:val="00053870"/>
    <w:rsid w:val="000546F9"/>
    <w:rsid w:val="00072982"/>
    <w:rsid w:val="0008059C"/>
    <w:rsid w:val="00080E5E"/>
    <w:rsid w:val="00085064"/>
    <w:rsid w:val="000923AD"/>
    <w:rsid w:val="00092F13"/>
    <w:rsid w:val="000B5B5E"/>
    <w:rsid w:val="000C0631"/>
    <w:rsid w:val="000C41DA"/>
    <w:rsid w:val="000D65D0"/>
    <w:rsid w:val="000E04C6"/>
    <w:rsid w:val="000E1606"/>
    <w:rsid w:val="000F23E2"/>
    <w:rsid w:val="000F5D17"/>
    <w:rsid w:val="001047B1"/>
    <w:rsid w:val="00107DBA"/>
    <w:rsid w:val="0011105C"/>
    <w:rsid w:val="00112725"/>
    <w:rsid w:val="0012304A"/>
    <w:rsid w:val="00126389"/>
    <w:rsid w:val="00131B9A"/>
    <w:rsid w:val="00142274"/>
    <w:rsid w:val="001442E1"/>
    <w:rsid w:val="0017109E"/>
    <w:rsid w:val="001727C0"/>
    <w:rsid w:val="001734BD"/>
    <w:rsid w:val="001770A0"/>
    <w:rsid w:val="0018292E"/>
    <w:rsid w:val="00183635"/>
    <w:rsid w:val="001A1635"/>
    <w:rsid w:val="001A5392"/>
    <w:rsid w:val="001B6EE4"/>
    <w:rsid w:val="001B7AD5"/>
    <w:rsid w:val="001C183C"/>
    <w:rsid w:val="001C57A9"/>
    <w:rsid w:val="001D66AD"/>
    <w:rsid w:val="001F6BDC"/>
    <w:rsid w:val="00213E47"/>
    <w:rsid w:val="00214B9B"/>
    <w:rsid w:val="0021548C"/>
    <w:rsid w:val="00221C16"/>
    <w:rsid w:val="002227C2"/>
    <w:rsid w:val="00224D3B"/>
    <w:rsid w:val="00230AD3"/>
    <w:rsid w:val="0023223C"/>
    <w:rsid w:val="00232332"/>
    <w:rsid w:val="00271DD1"/>
    <w:rsid w:val="0027341C"/>
    <w:rsid w:val="00284245"/>
    <w:rsid w:val="00284FB0"/>
    <w:rsid w:val="00285D0D"/>
    <w:rsid w:val="0029497B"/>
    <w:rsid w:val="002C433F"/>
    <w:rsid w:val="002D5E0B"/>
    <w:rsid w:val="002F1F4D"/>
    <w:rsid w:val="002F4714"/>
    <w:rsid w:val="002F6904"/>
    <w:rsid w:val="00302213"/>
    <w:rsid w:val="0030575F"/>
    <w:rsid w:val="00321845"/>
    <w:rsid w:val="003225D1"/>
    <w:rsid w:val="00322F14"/>
    <w:rsid w:val="00325423"/>
    <w:rsid w:val="00327BAD"/>
    <w:rsid w:val="003324EC"/>
    <w:rsid w:val="00337EDD"/>
    <w:rsid w:val="00341823"/>
    <w:rsid w:val="0034663A"/>
    <w:rsid w:val="00346F33"/>
    <w:rsid w:val="00351FB1"/>
    <w:rsid w:val="003545D4"/>
    <w:rsid w:val="00365D10"/>
    <w:rsid w:val="00375313"/>
    <w:rsid w:val="00381120"/>
    <w:rsid w:val="003824EC"/>
    <w:rsid w:val="00382729"/>
    <w:rsid w:val="00393BEE"/>
    <w:rsid w:val="003A0014"/>
    <w:rsid w:val="003A07AF"/>
    <w:rsid w:val="003A20A3"/>
    <w:rsid w:val="003A2701"/>
    <w:rsid w:val="003A2FEA"/>
    <w:rsid w:val="003B26EC"/>
    <w:rsid w:val="003B33D2"/>
    <w:rsid w:val="003C2C5A"/>
    <w:rsid w:val="003D5264"/>
    <w:rsid w:val="003F1F09"/>
    <w:rsid w:val="003F3490"/>
    <w:rsid w:val="004051B8"/>
    <w:rsid w:val="004136FF"/>
    <w:rsid w:val="0041509F"/>
    <w:rsid w:val="00417F6A"/>
    <w:rsid w:val="00420612"/>
    <w:rsid w:val="00422B75"/>
    <w:rsid w:val="00436032"/>
    <w:rsid w:val="004412CC"/>
    <w:rsid w:val="0044253E"/>
    <w:rsid w:val="00450958"/>
    <w:rsid w:val="004514B8"/>
    <w:rsid w:val="00453659"/>
    <w:rsid w:val="004620C6"/>
    <w:rsid w:val="004624D2"/>
    <w:rsid w:val="00475213"/>
    <w:rsid w:val="0048489C"/>
    <w:rsid w:val="0048491F"/>
    <w:rsid w:val="004A04F2"/>
    <w:rsid w:val="004A5425"/>
    <w:rsid w:val="004A6878"/>
    <w:rsid w:val="004B1DB9"/>
    <w:rsid w:val="004B4267"/>
    <w:rsid w:val="004C03D7"/>
    <w:rsid w:val="004D4478"/>
    <w:rsid w:val="004E1265"/>
    <w:rsid w:val="004E1A8F"/>
    <w:rsid w:val="004E4C74"/>
    <w:rsid w:val="004F0B44"/>
    <w:rsid w:val="004F1ACE"/>
    <w:rsid w:val="004F76B7"/>
    <w:rsid w:val="00501750"/>
    <w:rsid w:val="00520392"/>
    <w:rsid w:val="00524C9B"/>
    <w:rsid w:val="005270F8"/>
    <w:rsid w:val="00527EBA"/>
    <w:rsid w:val="00532971"/>
    <w:rsid w:val="00532D83"/>
    <w:rsid w:val="005444F5"/>
    <w:rsid w:val="005511CC"/>
    <w:rsid w:val="00556826"/>
    <w:rsid w:val="005573A7"/>
    <w:rsid w:val="00557861"/>
    <w:rsid w:val="00564AF0"/>
    <w:rsid w:val="0057330C"/>
    <w:rsid w:val="00593289"/>
    <w:rsid w:val="005C133A"/>
    <w:rsid w:val="005C16C3"/>
    <w:rsid w:val="005D4848"/>
    <w:rsid w:val="005D5880"/>
    <w:rsid w:val="005D7191"/>
    <w:rsid w:val="005E2664"/>
    <w:rsid w:val="005E3C49"/>
    <w:rsid w:val="005E514F"/>
    <w:rsid w:val="005F1832"/>
    <w:rsid w:val="005F3389"/>
    <w:rsid w:val="005F620F"/>
    <w:rsid w:val="00600BCF"/>
    <w:rsid w:val="00605604"/>
    <w:rsid w:val="0061283A"/>
    <w:rsid w:val="006133CA"/>
    <w:rsid w:val="00615EB0"/>
    <w:rsid w:val="00623B9B"/>
    <w:rsid w:val="00630FBD"/>
    <w:rsid w:val="0063281D"/>
    <w:rsid w:val="00633F8C"/>
    <w:rsid w:val="00635CAE"/>
    <w:rsid w:val="006363FA"/>
    <w:rsid w:val="006374B2"/>
    <w:rsid w:val="006413D8"/>
    <w:rsid w:val="00642716"/>
    <w:rsid w:val="00656346"/>
    <w:rsid w:val="00672C36"/>
    <w:rsid w:val="00683066"/>
    <w:rsid w:val="006861A9"/>
    <w:rsid w:val="006953BF"/>
    <w:rsid w:val="00697419"/>
    <w:rsid w:val="006A0B2F"/>
    <w:rsid w:val="006B0DE2"/>
    <w:rsid w:val="006B53C9"/>
    <w:rsid w:val="006D1BBE"/>
    <w:rsid w:val="006D2A32"/>
    <w:rsid w:val="006D2F6F"/>
    <w:rsid w:val="006E3900"/>
    <w:rsid w:val="00700161"/>
    <w:rsid w:val="00701CE2"/>
    <w:rsid w:val="00722A3C"/>
    <w:rsid w:val="007313D8"/>
    <w:rsid w:val="007528CB"/>
    <w:rsid w:val="007620E4"/>
    <w:rsid w:val="0076796F"/>
    <w:rsid w:val="0077362D"/>
    <w:rsid w:val="00775303"/>
    <w:rsid w:val="00783121"/>
    <w:rsid w:val="00793437"/>
    <w:rsid w:val="00793DD5"/>
    <w:rsid w:val="007A32B3"/>
    <w:rsid w:val="007C41B9"/>
    <w:rsid w:val="007C4B16"/>
    <w:rsid w:val="007C6C15"/>
    <w:rsid w:val="007D2E94"/>
    <w:rsid w:val="007D5964"/>
    <w:rsid w:val="007E5DD4"/>
    <w:rsid w:val="007F40BA"/>
    <w:rsid w:val="007F6D3A"/>
    <w:rsid w:val="00801A77"/>
    <w:rsid w:val="0080446A"/>
    <w:rsid w:val="0081043C"/>
    <w:rsid w:val="00815284"/>
    <w:rsid w:val="00815471"/>
    <w:rsid w:val="0082225C"/>
    <w:rsid w:val="00851A54"/>
    <w:rsid w:val="008673CF"/>
    <w:rsid w:val="00875290"/>
    <w:rsid w:val="008A283D"/>
    <w:rsid w:val="008A5906"/>
    <w:rsid w:val="008C373C"/>
    <w:rsid w:val="008D46E0"/>
    <w:rsid w:val="008D6ABC"/>
    <w:rsid w:val="008E547E"/>
    <w:rsid w:val="008F20E0"/>
    <w:rsid w:val="008F344F"/>
    <w:rsid w:val="008F6F29"/>
    <w:rsid w:val="0090275F"/>
    <w:rsid w:val="00905C44"/>
    <w:rsid w:val="00907931"/>
    <w:rsid w:val="0091092C"/>
    <w:rsid w:val="00942B56"/>
    <w:rsid w:val="009513F4"/>
    <w:rsid w:val="00956935"/>
    <w:rsid w:val="00957C36"/>
    <w:rsid w:val="00965467"/>
    <w:rsid w:val="009744A0"/>
    <w:rsid w:val="00980B9A"/>
    <w:rsid w:val="009A1D5C"/>
    <w:rsid w:val="009C718C"/>
    <w:rsid w:val="009D7FBB"/>
    <w:rsid w:val="009E2D37"/>
    <w:rsid w:val="009E3FE5"/>
    <w:rsid w:val="009E48C5"/>
    <w:rsid w:val="009F61AE"/>
    <w:rsid w:val="00A00465"/>
    <w:rsid w:val="00A05452"/>
    <w:rsid w:val="00A360FB"/>
    <w:rsid w:val="00A43A75"/>
    <w:rsid w:val="00A43F5D"/>
    <w:rsid w:val="00A57281"/>
    <w:rsid w:val="00A75A43"/>
    <w:rsid w:val="00A774DE"/>
    <w:rsid w:val="00A90190"/>
    <w:rsid w:val="00A91E7C"/>
    <w:rsid w:val="00A9444C"/>
    <w:rsid w:val="00AC18B1"/>
    <w:rsid w:val="00AC3BA5"/>
    <w:rsid w:val="00AF3477"/>
    <w:rsid w:val="00AF5179"/>
    <w:rsid w:val="00B21A94"/>
    <w:rsid w:val="00B238D1"/>
    <w:rsid w:val="00B26FD3"/>
    <w:rsid w:val="00B323CB"/>
    <w:rsid w:val="00B416CC"/>
    <w:rsid w:val="00B41BFB"/>
    <w:rsid w:val="00B43C48"/>
    <w:rsid w:val="00B44A21"/>
    <w:rsid w:val="00B61CF9"/>
    <w:rsid w:val="00B64976"/>
    <w:rsid w:val="00B956C8"/>
    <w:rsid w:val="00B95E66"/>
    <w:rsid w:val="00BB2075"/>
    <w:rsid w:val="00BD075E"/>
    <w:rsid w:val="00BD302A"/>
    <w:rsid w:val="00BD607F"/>
    <w:rsid w:val="00BF59E5"/>
    <w:rsid w:val="00C047B6"/>
    <w:rsid w:val="00C07E4E"/>
    <w:rsid w:val="00C155D2"/>
    <w:rsid w:val="00C157CD"/>
    <w:rsid w:val="00C15868"/>
    <w:rsid w:val="00C2289A"/>
    <w:rsid w:val="00C22D13"/>
    <w:rsid w:val="00C26EC4"/>
    <w:rsid w:val="00C342EB"/>
    <w:rsid w:val="00C4412C"/>
    <w:rsid w:val="00C44598"/>
    <w:rsid w:val="00C477A3"/>
    <w:rsid w:val="00C6605B"/>
    <w:rsid w:val="00C71D68"/>
    <w:rsid w:val="00C866B4"/>
    <w:rsid w:val="00CC326E"/>
    <w:rsid w:val="00CF3D77"/>
    <w:rsid w:val="00CF5BD3"/>
    <w:rsid w:val="00D016FB"/>
    <w:rsid w:val="00D02F88"/>
    <w:rsid w:val="00D11517"/>
    <w:rsid w:val="00D2104D"/>
    <w:rsid w:val="00D31342"/>
    <w:rsid w:val="00D32D54"/>
    <w:rsid w:val="00D5244F"/>
    <w:rsid w:val="00D53C1F"/>
    <w:rsid w:val="00D6238A"/>
    <w:rsid w:val="00D643EC"/>
    <w:rsid w:val="00D676E1"/>
    <w:rsid w:val="00D86CD6"/>
    <w:rsid w:val="00D8734F"/>
    <w:rsid w:val="00D941A7"/>
    <w:rsid w:val="00D95AE8"/>
    <w:rsid w:val="00DA5809"/>
    <w:rsid w:val="00DC2712"/>
    <w:rsid w:val="00DC4221"/>
    <w:rsid w:val="00DD1D04"/>
    <w:rsid w:val="00DD7664"/>
    <w:rsid w:val="00E00D8A"/>
    <w:rsid w:val="00E010EF"/>
    <w:rsid w:val="00E05181"/>
    <w:rsid w:val="00E17668"/>
    <w:rsid w:val="00E23793"/>
    <w:rsid w:val="00E26695"/>
    <w:rsid w:val="00E30BD1"/>
    <w:rsid w:val="00E4081E"/>
    <w:rsid w:val="00E55A25"/>
    <w:rsid w:val="00E60142"/>
    <w:rsid w:val="00E70F92"/>
    <w:rsid w:val="00E82D66"/>
    <w:rsid w:val="00E87F3D"/>
    <w:rsid w:val="00EB4587"/>
    <w:rsid w:val="00EC0388"/>
    <w:rsid w:val="00ED1B7E"/>
    <w:rsid w:val="00ED1EFD"/>
    <w:rsid w:val="00ED2DB2"/>
    <w:rsid w:val="00ED7FCD"/>
    <w:rsid w:val="00EE0AE2"/>
    <w:rsid w:val="00EF017C"/>
    <w:rsid w:val="00EF7FDC"/>
    <w:rsid w:val="00F02D1F"/>
    <w:rsid w:val="00F02F52"/>
    <w:rsid w:val="00F059F7"/>
    <w:rsid w:val="00F1609A"/>
    <w:rsid w:val="00F22596"/>
    <w:rsid w:val="00F34A73"/>
    <w:rsid w:val="00F408D4"/>
    <w:rsid w:val="00F47E3B"/>
    <w:rsid w:val="00F519BD"/>
    <w:rsid w:val="00F63688"/>
    <w:rsid w:val="00F72EBD"/>
    <w:rsid w:val="00F818E3"/>
    <w:rsid w:val="00F94EF8"/>
    <w:rsid w:val="00F96FA3"/>
    <w:rsid w:val="00FB1D87"/>
    <w:rsid w:val="00FB3663"/>
    <w:rsid w:val="00FB428E"/>
    <w:rsid w:val="00FB55A3"/>
    <w:rsid w:val="00FC3ACB"/>
    <w:rsid w:val="00FC7650"/>
    <w:rsid w:val="00FE531D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color w:val="808080"/>
    </w:rPr>
  </w:style>
  <w:style w:type="paragraph" w:styleId="FootnoteText">
    <w:name w:val="footnote text"/>
    <w:basedOn w:val="Normal"/>
    <w:link w:val="FootnoteTextChar"/>
    <w:uiPriority w:val="99"/>
    <w:rsid w:val="00910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92C"/>
  </w:style>
  <w:style w:type="character" w:styleId="FootnoteReference">
    <w:name w:val="footnote reference"/>
    <w:basedOn w:val="DefaultParagraphFont"/>
    <w:uiPriority w:val="99"/>
    <w:rsid w:val="0091092C"/>
    <w:rPr>
      <w:vertAlign w:val="superscript"/>
    </w:rPr>
  </w:style>
  <w:style w:type="character" w:customStyle="1" w:styleId="apple-style-span">
    <w:name w:val="apple-style-span"/>
    <w:basedOn w:val="DefaultParagraphFont"/>
    <w:rsid w:val="008D46E0"/>
  </w:style>
  <w:style w:type="character" w:styleId="Hyperlink">
    <w:name w:val="Hyperlink"/>
    <w:basedOn w:val="DefaultParagraphFont"/>
    <w:uiPriority w:val="99"/>
    <w:rsid w:val="005932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4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asury.gov/resource-center/data-chart-center/interest-rates/Pages/TextView.aspx?data=y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BE95-7D7F-48B0-9F9B-47055919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2743</CharactersWithSpaces>
  <SharedDoc>false</SharedDoc>
  <HLinks>
    <vt:vector size="6" baseType="variant"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http://www.treasury.gov/resource-center/data-chart-center/interest-rates/Pages/TextView.aspx?data=yield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dyoungberg</cp:lastModifiedBy>
  <cp:revision>8</cp:revision>
  <cp:lastPrinted>2012-02-28T17:57:00Z</cp:lastPrinted>
  <dcterms:created xsi:type="dcterms:W3CDTF">2012-12-23T06:00:00Z</dcterms:created>
  <dcterms:modified xsi:type="dcterms:W3CDTF">2013-04-26T16:08:00Z</dcterms:modified>
</cp:coreProperties>
</file>