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E8" w:rsidRDefault="005167E8" w:rsidP="00556826">
      <w:pPr>
        <w:jc w:val="both"/>
      </w:pPr>
      <w:r>
        <w:t>David Youngberg</w:t>
      </w:r>
    </w:p>
    <w:p w:rsidR="005167E8" w:rsidRDefault="005167E8" w:rsidP="00556826">
      <w:pPr>
        <w:jc w:val="both"/>
      </w:pPr>
      <w:r>
        <w:t>Econ 301—Bethany College</w:t>
      </w:r>
    </w:p>
    <w:p w:rsidR="005167E8" w:rsidRDefault="005167E8" w:rsidP="00556826">
      <w:pPr>
        <w:jc w:val="both"/>
      </w:pPr>
    </w:p>
    <w:p w:rsidR="005167E8" w:rsidRPr="00E26695" w:rsidRDefault="005167E8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Lecture </w:t>
      </w:r>
      <w:r w:rsidR="00981527">
        <w:rPr>
          <w:b/>
          <w:smallCaps/>
          <w:sz w:val="32"/>
          <w:szCs w:val="32"/>
        </w:rPr>
        <w:t>19</w:t>
      </w:r>
      <w:r>
        <w:rPr>
          <w:b/>
          <w:smallCaps/>
          <w:sz w:val="32"/>
          <w:szCs w:val="32"/>
        </w:rPr>
        <w:t>:</w:t>
      </w:r>
      <w:r w:rsidR="00D6384A">
        <w:rPr>
          <w:b/>
          <w:smallCaps/>
          <w:sz w:val="32"/>
          <w:szCs w:val="32"/>
        </w:rPr>
        <w:t xml:space="preserve"> Types of </w:t>
      </w:r>
      <w:r>
        <w:rPr>
          <w:b/>
          <w:smallCaps/>
          <w:sz w:val="32"/>
          <w:szCs w:val="32"/>
        </w:rPr>
        <w:t>Costs</w:t>
      </w:r>
    </w:p>
    <w:p w:rsidR="005167E8" w:rsidRDefault="005167E8" w:rsidP="00E26695">
      <w:pPr>
        <w:jc w:val="center"/>
      </w:pPr>
    </w:p>
    <w:p w:rsidR="005167E8" w:rsidRDefault="005167E8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Are drug companies cheating us?</w:t>
      </w:r>
    </w:p>
    <w:p w:rsidR="005167E8" w:rsidRDefault="005167E8" w:rsidP="000F664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After all, many pills cost mere pennies to make but companies charge thousands of dollars a year.</w:t>
      </w:r>
    </w:p>
    <w:p w:rsidR="005167E8" w:rsidRPr="00BB4C8C" w:rsidRDefault="005167E8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The most expensive drug—</w:t>
      </w:r>
      <w:r w:rsidRPr="00BB4C8C">
        <w:rPr>
          <w:rStyle w:val="apple-style-span"/>
          <w:color w:val="000000"/>
          <w:sz w:val="28"/>
          <w:szCs w:val="28"/>
          <w:shd w:val="clear" w:color="auto" w:fill="FFFFFF"/>
        </w:rPr>
        <w:t xml:space="preserve">Alexion Pharmaceutical's Soliris—cost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$409,000 a year.</w:t>
      </w:r>
      <w:r w:rsidRPr="00BB4C8C">
        <w:rPr>
          <w:rStyle w:val="FootnoteReferen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FootnoteReference"/>
          <w:color w:val="000000"/>
          <w:sz w:val="28"/>
          <w:szCs w:val="28"/>
          <w:shd w:val="clear" w:color="auto" w:fill="FFFFFF"/>
        </w:rPr>
        <w:footnoteReference w:id="1"/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</w:p>
    <w:p w:rsidR="005167E8" w:rsidRDefault="005167E8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Review of lecture one</w:t>
      </w:r>
    </w:p>
    <w:p w:rsidR="005167E8" w:rsidRDefault="005167E8" w:rsidP="00367BBF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opportunity cost, or the net gain of the next best option</w:t>
      </w:r>
    </w:p>
    <w:p w:rsidR="005167E8" w:rsidRPr="003A41AB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Accounting framework</w:t>
      </w:r>
    </w:p>
    <w:p w:rsidR="005167E8" w:rsidRPr="003A41AB" w:rsidRDefault="005167E8" w:rsidP="00397732">
      <w:pPr>
        <w:numPr>
          <w:ilvl w:val="2"/>
          <w:numId w:val="2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Benefit – Cost = Accounting Profit</w:t>
      </w:r>
    </w:p>
    <w:p w:rsidR="005167E8" w:rsidRPr="003A41AB" w:rsidRDefault="005167E8" w:rsidP="00397732">
      <w:pPr>
        <w:numPr>
          <w:ilvl w:val="2"/>
          <w:numId w:val="2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Ex: If I make $50 selling apples and it costs $40 bringing them to market, my profit is $10.</w:t>
      </w:r>
    </w:p>
    <w:p w:rsidR="005167E8" w:rsidRPr="003A41AB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Economic framework</w:t>
      </w:r>
    </w:p>
    <w:p w:rsidR="005167E8" w:rsidRPr="003A41AB" w:rsidRDefault="005167E8" w:rsidP="00397732">
      <w:pPr>
        <w:numPr>
          <w:ilvl w:val="2"/>
          <w:numId w:val="2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Accounting Profit – Opportunity Cost = Economic Profit</w:t>
      </w:r>
    </w:p>
    <w:p w:rsidR="005167E8" w:rsidRPr="003A41AB" w:rsidRDefault="005167E8" w:rsidP="00397732">
      <w:pPr>
        <w:numPr>
          <w:ilvl w:val="2"/>
          <w:numId w:val="2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Ex: If, instead, I could have spent $45 selling candy apples for a total of $60, my opportunity cost is $15</w:t>
      </w:r>
    </w:p>
    <w:p w:rsidR="005167E8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 w:rsidRPr="003A41AB">
        <w:rPr>
          <w:sz w:val="28"/>
          <w:szCs w:val="28"/>
        </w:rPr>
        <w:t>Since $10 – $15 = -$5, I have negative economic profits. In other words since I could have made more selling candy apples I actually made a loss. My opportunity cost was high.</w:t>
      </w:r>
    </w:p>
    <w:p w:rsidR="005167E8" w:rsidRDefault="005167E8" w:rsidP="003977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Perfect competition</w:t>
      </w:r>
    </w:p>
    <w:p w:rsidR="005167E8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Requirements</w:t>
      </w:r>
    </w:p>
    <w:p w:rsidR="005167E8" w:rsidRDefault="005167E8" w:rsidP="00397732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Free entry and exit</w:t>
      </w:r>
    </w:p>
    <w:p w:rsidR="005167E8" w:rsidRDefault="005167E8" w:rsidP="00397732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Identical goods</w:t>
      </w:r>
    </w:p>
    <w:p w:rsidR="005167E8" w:rsidRDefault="005167E8" w:rsidP="00397732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Perfect information</w:t>
      </w:r>
    </w:p>
    <w:p w:rsidR="005167E8" w:rsidRDefault="005167E8" w:rsidP="00397732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Large number of buyers and sellers</w:t>
      </w:r>
    </w:p>
    <w:p w:rsidR="005167E8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perfect competition, all firms are </w:t>
      </w:r>
      <w:r w:rsidRPr="00397732">
        <w:rPr>
          <w:i/>
          <w:sz w:val="28"/>
          <w:szCs w:val="28"/>
        </w:rPr>
        <w:t>price takers</w:t>
      </w:r>
      <w:r>
        <w:rPr>
          <w:sz w:val="28"/>
          <w:szCs w:val="28"/>
        </w:rPr>
        <w:t>—they have no control over their price.</w:t>
      </w:r>
    </w:p>
    <w:p w:rsidR="005167E8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results in them making no economic profit.</w:t>
      </w:r>
    </w:p>
    <w:p w:rsidR="005167E8" w:rsidRDefault="005167E8" w:rsidP="00397732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that perfect competition, despite its name, is not a goal. I know of no one who would like to live in a world where all movies are the same!</w:t>
      </w:r>
    </w:p>
    <w:p w:rsidR="005167E8" w:rsidRDefault="005167E8" w:rsidP="003977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 types of costs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Fixed cost</w:t>
      </w:r>
      <w:r>
        <w:rPr>
          <w:sz w:val="28"/>
          <w:szCs w:val="28"/>
        </w:rPr>
        <w:t xml:space="preserve">—cost which </w:t>
      </w:r>
      <w:r w:rsidRPr="001B274F">
        <w:rPr>
          <w:b/>
          <w:i/>
          <w:sz w:val="28"/>
          <w:szCs w:val="28"/>
        </w:rPr>
        <w:t>does not</w:t>
      </w:r>
      <w:r>
        <w:rPr>
          <w:sz w:val="28"/>
          <w:szCs w:val="28"/>
        </w:rPr>
        <w:t xml:space="preserve"> increase as output increases (total fixed costs: TFC)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Variable cost</w:t>
      </w:r>
      <w:r>
        <w:rPr>
          <w:sz w:val="28"/>
          <w:szCs w:val="28"/>
        </w:rPr>
        <w:t xml:space="preserve">—cost which </w:t>
      </w:r>
      <w:r w:rsidRPr="001B274F">
        <w:rPr>
          <w:b/>
          <w:i/>
          <w:sz w:val="28"/>
          <w:szCs w:val="28"/>
        </w:rPr>
        <w:t>do</w:t>
      </w:r>
      <w:r>
        <w:rPr>
          <w:b/>
          <w:i/>
          <w:sz w:val="28"/>
          <w:szCs w:val="28"/>
        </w:rPr>
        <w:t>es</w:t>
      </w:r>
      <w:r>
        <w:rPr>
          <w:sz w:val="28"/>
          <w:szCs w:val="28"/>
        </w:rPr>
        <w:t xml:space="preserve"> increase as output increases (total variable costs: TVC)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Total cost</w:t>
      </w:r>
      <w:r>
        <w:rPr>
          <w:sz w:val="28"/>
          <w:szCs w:val="28"/>
        </w:rPr>
        <w:t>—total fixed costs plus total variable costs (TC)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Average total cost</w:t>
      </w:r>
      <w:r>
        <w:rPr>
          <w:sz w:val="28"/>
          <w:szCs w:val="28"/>
        </w:rPr>
        <w:t>—total cost divided by total output (ATC)</w:t>
      </w:r>
    </w:p>
    <w:p w:rsidR="005167E8" w:rsidRDefault="005167E8" w:rsidP="002A1BDE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Marginal cost</w:t>
      </w:r>
      <w:r>
        <w:rPr>
          <w:sz w:val="28"/>
          <w:szCs w:val="28"/>
        </w:rPr>
        <w:t>—the additional cost to produce one more unit of output (MC)</w:t>
      </w:r>
    </w:p>
    <w:p w:rsidR="005167E8" w:rsidRDefault="00981527" w:rsidP="002A1BDE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MC= 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∆VC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w∆L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∆q</m:t>
              </m:r>
            </m:den>
          </m:f>
        </m:oMath>
      </m:oMathPara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Total revenue</w:t>
      </w:r>
      <w:r>
        <w:rPr>
          <w:sz w:val="28"/>
          <w:szCs w:val="28"/>
        </w:rPr>
        <w:t>—total output times price per unit (TR)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Marginal revenue</w:t>
      </w:r>
      <w:r>
        <w:rPr>
          <w:sz w:val="28"/>
          <w:szCs w:val="28"/>
        </w:rPr>
        <w:t>—the additional revenue from selling one more unit of output, aka price (MR=P)</w:t>
      </w:r>
    </w:p>
    <w:p w:rsidR="005167E8" w:rsidRDefault="005167E8" w:rsidP="00F46E65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Sunk cost</w:t>
      </w:r>
      <w:r>
        <w:rPr>
          <w:sz w:val="28"/>
          <w:szCs w:val="28"/>
        </w:rPr>
        <w:t>—an expenditure which cannot be retrieved</w:t>
      </w:r>
    </w:p>
    <w:p w:rsidR="005167E8" w:rsidRDefault="005167E8" w:rsidP="002A1BD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 example</w:t>
      </w:r>
    </w:p>
    <w:p w:rsidR="005167E8" w:rsidRDefault="005167E8" w:rsidP="002A1BDE">
      <w:pPr>
        <w:ind w:left="108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932"/>
        <w:gridCol w:w="932"/>
        <w:gridCol w:w="932"/>
        <w:gridCol w:w="932"/>
      </w:tblGrid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center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Output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center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TFC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center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TVC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center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TC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center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MC</w:t>
            </w: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167E8" w:rsidRDefault="005167E8">
            <w:r w:rsidRPr="00523BA1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shd w:val="pct40" w:color="auto" w:fill="auto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5167E8" w:rsidRDefault="005167E8">
            <w:r w:rsidRPr="00523BA1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5167E8" w:rsidRDefault="005167E8">
            <w:r w:rsidRPr="00523BA1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5167E8" w:rsidRDefault="005167E8">
            <w:r w:rsidRPr="004D037D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5167E8" w:rsidRDefault="005167E8">
            <w:r w:rsidRPr="004D037D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 w:rsidRPr="00C91E37"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5167E8" w:rsidRDefault="005167E8">
            <w:r w:rsidRPr="004D037D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5167E8" w:rsidRPr="004D037D" w:rsidRDefault="005167E8">
            <w:pPr>
              <w:rPr>
                <w:sz w:val="28"/>
                <w:szCs w:val="28"/>
              </w:rPr>
            </w:pPr>
            <w:r w:rsidRPr="004D037D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F5209E" w:rsidTr="00F840D3">
        <w:tc>
          <w:tcPr>
            <w:tcW w:w="994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5167E8" w:rsidRPr="004D037D" w:rsidRDefault="005167E8">
            <w:pPr>
              <w:rPr>
                <w:sz w:val="28"/>
                <w:szCs w:val="28"/>
              </w:rPr>
            </w:pPr>
            <w:r w:rsidRPr="004D037D">
              <w:rPr>
                <w:sz w:val="28"/>
                <w:szCs w:val="28"/>
              </w:rPr>
              <w:t>24</w:t>
            </w:r>
          </w:p>
        </w:tc>
        <w:tc>
          <w:tcPr>
            <w:tcW w:w="932" w:type="dxa"/>
          </w:tcPr>
          <w:p w:rsidR="005167E8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C91E37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</w:tbl>
    <w:p w:rsidR="005167E8" w:rsidRDefault="008F0809" w:rsidP="002A1BDE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24pt;height:16.2pt;mso-position-horizontal-relative:char;mso-position-vertical-relative:line" coordorigin="2915,2187" coordsize="5400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15;top:2187;width:5400;height:27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778;top:2187;width:687;height:270" o:connectortype="straight">
              <v:stroke endarrow="block"/>
            </v:shape>
            <v:shape id="_x0000_s1029" type="#_x0000_t32" style="position:absolute;left:5615;top:2187;width:1375;height:270" o:connectortype="straight">
              <v:stroke endarrow="block"/>
            </v:shape>
            <w10:wrap type="none"/>
            <w10:anchorlock/>
          </v:group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932"/>
        <w:gridCol w:w="932"/>
        <w:gridCol w:w="932"/>
        <w:gridCol w:w="932"/>
        <w:gridCol w:w="932"/>
        <w:gridCol w:w="932"/>
        <w:gridCol w:w="932"/>
      </w:tblGrid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Output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ΔΠ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Π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TR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TC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ATC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MC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center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MR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shd w:val="pct40" w:color="auto" w:fill="auto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shd w:val="pct40" w:color="auto" w:fill="auto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shd w:val="pct40" w:color="auto" w:fill="auto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  <w:shd w:val="pct40" w:color="auto" w:fill="auto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1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 w:rsidP="00C22BEA">
            <w:r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4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 w:rsidRPr="002F71A8"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Default="005167E8"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405753" w:rsidRDefault="005167E8">
            <w:pPr>
              <w:rPr>
                <w:sz w:val="28"/>
                <w:szCs w:val="28"/>
              </w:rPr>
            </w:pPr>
            <w:r w:rsidRPr="00405753">
              <w:rPr>
                <w:sz w:val="28"/>
                <w:szCs w:val="28"/>
              </w:rPr>
              <w:t>8</w:t>
            </w:r>
          </w:p>
        </w:tc>
      </w:tr>
      <w:tr w:rsidR="005167E8" w:rsidRPr="002F71A8" w:rsidTr="00C22BEA">
        <w:tc>
          <w:tcPr>
            <w:tcW w:w="994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2F71A8" w:rsidRDefault="005167E8" w:rsidP="00C22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5167E8" w:rsidRPr="00405753" w:rsidRDefault="005167E8">
            <w:pPr>
              <w:rPr>
                <w:sz w:val="28"/>
                <w:szCs w:val="28"/>
              </w:rPr>
            </w:pPr>
            <w:r w:rsidRPr="00405753">
              <w:rPr>
                <w:sz w:val="28"/>
                <w:szCs w:val="28"/>
              </w:rPr>
              <w:t>8</w:t>
            </w:r>
          </w:p>
        </w:tc>
      </w:tr>
    </w:tbl>
    <w:p w:rsidR="005167E8" w:rsidRDefault="005167E8" w:rsidP="002A1BDE">
      <w:pPr>
        <w:ind w:left="1080"/>
        <w:jc w:val="both"/>
        <w:rPr>
          <w:sz w:val="28"/>
          <w:szCs w:val="28"/>
        </w:rPr>
      </w:pPr>
    </w:p>
    <w:p w:rsidR="005167E8" w:rsidRDefault="005167E8" w:rsidP="002A1BD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Shape of Things</w:t>
      </w:r>
    </w:p>
    <w:p w:rsidR="005167E8" w:rsidRDefault="005167E8" w:rsidP="00F840D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we are to diagram the average and marginal cost curves, we will notice that the average cost curve is U-shaped and the marginal cost curve will intersect the ATC at its minimum.</w:t>
      </w:r>
    </w:p>
    <w:p w:rsidR="005167E8" w:rsidRDefault="005167E8" w:rsidP="00F840D3">
      <w:pPr>
        <w:ind w:left="1440"/>
        <w:jc w:val="both"/>
        <w:rPr>
          <w:sz w:val="28"/>
          <w:szCs w:val="28"/>
        </w:rPr>
      </w:pPr>
    </w:p>
    <w:p w:rsidR="005167E8" w:rsidRDefault="00981527" w:rsidP="0046001C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ATC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C(q)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</m:oMath>
      </m:oMathPara>
    </w:p>
    <w:p w:rsidR="005167E8" w:rsidRDefault="005167E8" w:rsidP="0046001C">
      <w:pPr>
        <w:ind w:left="1440"/>
        <w:jc w:val="center"/>
        <w:rPr>
          <w:sz w:val="28"/>
          <w:szCs w:val="28"/>
        </w:rPr>
      </w:pPr>
    </w:p>
    <w:p w:rsidR="005167E8" w:rsidRDefault="00981527" w:rsidP="0046001C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TC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(q)=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q-C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5167E8" w:rsidRDefault="005167E8" w:rsidP="0046001C">
      <w:pPr>
        <w:ind w:left="1440"/>
        <w:jc w:val="center"/>
        <w:rPr>
          <w:sz w:val="28"/>
          <w:szCs w:val="28"/>
        </w:rPr>
      </w:pPr>
    </w:p>
    <w:p w:rsidR="005167E8" w:rsidRDefault="00981527" w:rsidP="0046001C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AT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(q)=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5167E8" w:rsidRDefault="005167E8" w:rsidP="0046001C">
      <w:pPr>
        <w:ind w:left="1440"/>
        <w:jc w:val="center"/>
        <w:rPr>
          <w:sz w:val="28"/>
          <w:szCs w:val="28"/>
        </w:rPr>
      </w:pPr>
    </w:p>
    <w:p w:rsidR="005167E8" w:rsidRDefault="00981527" w:rsidP="0046001C">
      <w:pPr>
        <w:ind w:left="144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AT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(q)=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5167E8" w:rsidRDefault="005167E8" w:rsidP="0046001C">
      <w:pPr>
        <w:ind w:left="1440"/>
        <w:jc w:val="center"/>
        <w:rPr>
          <w:sz w:val="28"/>
          <w:szCs w:val="28"/>
        </w:rPr>
      </w:pPr>
    </w:p>
    <w:p w:rsidR="005167E8" w:rsidRDefault="008F0809" w:rsidP="0046001C">
      <w:pPr>
        <w:ind w:left="1440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,MC=ATC</m:t>
          </m:r>
        </m:oMath>
      </m:oMathPara>
    </w:p>
    <w:p w:rsidR="005167E8" w:rsidRDefault="005167E8" w:rsidP="00F840D3">
      <w:pPr>
        <w:ind w:left="1440"/>
        <w:jc w:val="both"/>
        <w:rPr>
          <w:sz w:val="28"/>
          <w:szCs w:val="28"/>
        </w:rPr>
      </w:pPr>
    </w:p>
    <w:p w:rsidR="005167E8" w:rsidRDefault="005167E8" w:rsidP="00F840D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Intuitively, when an additional value is less than the average, the average will go down. When it is above average, the average will go up. </w:t>
      </w:r>
    </w:p>
    <w:p w:rsidR="005167E8" w:rsidRDefault="005167E8" w:rsidP="0046001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 when MC is lower than ATC, ATC is decreasing.</w:t>
      </w:r>
    </w:p>
    <w:p w:rsidR="005167E8" w:rsidRDefault="005167E8" w:rsidP="0046001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And when MC is higher than ATC, ATC is increasing.</w:t>
      </w:r>
    </w:p>
    <w:p w:rsidR="005167E8" w:rsidRDefault="005167E8" w:rsidP="00AD4D0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Why we can’t all have cheap Netflix</w:t>
      </w:r>
    </w:p>
    <w:p w:rsidR="005167E8" w:rsidRDefault="005167E8" w:rsidP="00AD4D03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Consider when the fixed costs are much higher than the variable costs. Marginal costs, by definition, don’t consider fixed costs.</w:t>
      </w:r>
    </w:p>
    <w:p w:rsidR="005167E8" w:rsidRPr="00BB4C8C" w:rsidRDefault="005167E8" w:rsidP="00BB4C8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industries such as media or medical drugs—where the fixed costs is very high compared to the marginal cost—everyone wants to be charged the marginal cost. </w:t>
      </w:r>
      <w:r w:rsidRPr="00BB4C8C">
        <w:rPr>
          <w:sz w:val="28"/>
          <w:szCs w:val="28"/>
        </w:rPr>
        <w:t>But if everyone is charged the marginal cost, you can’t cover your fixed costs.</w:t>
      </w:r>
    </w:p>
    <w:p w:rsidR="005167E8" w:rsidRPr="00BB4C8C" w:rsidRDefault="005167E8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The most expensive drugs on the market address disorders only a few people have. </w:t>
      </w:r>
      <w:r w:rsidRPr="00BB4C8C">
        <w:rPr>
          <w:rStyle w:val="apple-style-span"/>
          <w:color w:val="000000"/>
          <w:sz w:val="28"/>
          <w:szCs w:val="28"/>
          <w:shd w:val="clear" w:color="auto" w:fill="FFFFFF"/>
        </w:rPr>
        <w:t>Soliris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treats a rare disorder where the immune system attacks red blood cells. Only 8,000 Americans have the disorder.</w:t>
      </w:r>
    </w:p>
    <w:p w:rsidR="005167E8" w:rsidRPr="00BB4C8C" w:rsidRDefault="005167E8" w:rsidP="00BB4C8C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Though their marginal costs are consistently low, their average costs are very, very high.</w:t>
      </w:r>
    </w:p>
    <w:p w:rsidR="005167E8" w:rsidRDefault="005167E8" w:rsidP="00BB4C8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is one of the reasons why Netflix had to increase its prices: because so many people started using Netflix.</w:t>
      </w:r>
    </w:p>
    <w:p w:rsidR="005167E8" w:rsidRDefault="005167E8" w:rsidP="00BB4C8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Media companies, knowing that unlimited streaming was crowding out DVD sales, demanded a higher price from Netflix for the rights to stream its content.</w:t>
      </w:r>
    </w:p>
    <w:p w:rsidR="005167E8" w:rsidRPr="00367BBF" w:rsidRDefault="005167E8" w:rsidP="00BB4C8C">
      <w:pPr>
        <w:numPr>
          <w:ilvl w:val="2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higher price is the only way to cover the very high fixed costs of production.</w:t>
      </w:r>
    </w:p>
    <w:sectPr w:rsidR="005167E8" w:rsidRPr="00367BBF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E8" w:rsidRDefault="005167E8" w:rsidP="008D0ADA">
      <w:r>
        <w:separator/>
      </w:r>
    </w:p>
  </w:endnote>
  <w:endnote w:type="continuationSeparator" w:id="0">
    <w:p w:rsidR="005167E8" w:rsidRDefault="005167E8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E8" w:rsidRDefault="005167E8" w:rsidP="008D0ADA">
      <w:r>
        <w:separator/>
      </w:r>
    </w:p>
  </w:footnote>
  <w:footnote w:type="continuationSeparator" w:id="0">
    <w:p w:rsidR="005167E8" w:rsidRDefault="005167E8" w:rsidP="008D0ADA">
      <w:r>
        <w:continuationSeparator/>
      </w:r>
    </w:p>
  </w:footnote>
  <w:footnote w:id="1">
    <w:p w:rsidR="005167E8" w:rsidRDefault="005167E8" w:rsidP="00BB4C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http://www.forbes.com/2010/02/19/expensive-drugs-cost-business-healthcare-rare-diseases.html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EC60A91E"/>
    <w:lvl w:ilvl="0" w:tplc="51D25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4EFEB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7F47BC"/>
    <w:multiLevelType w:val="hybridMultilevel"/>
    <w:tmpl w:val="4DFE98D0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44949"/>
    <w:rsid w:val="000474FD"/>
    <w:rsid w:val="00050092"/>
    <w:rsid w:val="000546F9"/>
    <w:rsid w:val="00054A7F"/>
    <w:rsid w:val="00071FF8"/>
    <w:rsid w:val="00077AEB"/>
    <w:rsid w:val="00080E5E"/>
    <w:rsid w:val="00085064"/>
    <w:rsid w:val="0008730A"/>
    <w:rsid w:val="00092F13"/>
    <w:rsid w:val="000A4F3D"/>
    <w:rsid w:val="000B5B5E"/>
    <w:rsid w:val="000C41DA"/>
    <w:rsid w:val="000E1606"/>
    <w:rsid w:val="000E1B51"/>
    <w:rsid w:val="000E2DC8"/>
    <w:rsid w:val="000F23E2"/>
    <w:rsid w:val="000F5D17"/>
    <w:rsid w:val="000F6643"/>
    <w:rsid w:val="00101E32"/>
    <w:rsid w:val="001047B1"/>
    <w:rsid w:val="0010697E"/>
    <w:rsid w:val="00107236"/>
    <w:rsid w:val="001075DF"/>
    <w:rsid w:val="0011105C"/>
    <w:rsid w:val="00126389"/>
    <w:rsid w:val="00130D41"/>
    <w:rsid w:val="00131B9A"/>
    <w:rsid w:val="001442E1"/>
    <w:rsid w:val="00166A9E"/>
    <w:rsid w:val="00183635"/>
    <w:rsid w:val="001952F2"/>
    <w:rsid w:val="00195A55"/>
    <w:rsid w:val="001A1635"/>
    <w:rsid w:val="001A6F2B"/>
    <w:rsid w:val="001B274F"/>
    <w:rsid w:val="001B7AD5"/>
    <w:rsid w:val="001C13B9"/>
    <w:rsid w:val="001E52C4"/>
    <w:rsid w:val="001E686C"/>
    <w:rsid w:val="002124DD"/>
    <w:rsid w:val="0021401C"/>
    <w:rsid w:val="00214B9B"/>
    <w:rsid w:val="0021548C"/>
    <w:rsid w:val="00220C27"/>
    <w:rsid w:val="00221C16"/>
    <w:rsid w:val="002227C2"/>
    <w:rsid w:val="00226EFF"/>
    <w:rsid w:val="00230AD3"/>
    <w:rsid w:val="0023223C"/>
    <w:rsid w:val="00242E0B"/>
    <w:rsid w:val="002475C1"/>
    <w:rsid w:val="0027341C"/>
    <w:rsid w:val="00274894"/>
    <w:rsid w:val="00284FB0"/>
    <w:rsid w:val="0029497B"/>
    <w:rsid w:val="002A1457"/>
    <w:rsid w:val="002A1BDE"/>
    <w:rsid w:val="002C0AEA"/>
    <w:rsid w:val="002C394F"/>
    <w:rsid w:val="002C433F"/>
    <w:rsid w:val="002F4714"/>
    <w:rsid w:val="002F6904"/>
    <w:rsid w:val="002F71A8"/>
    <w:rsid w:val="0030575F"/>
    <w:rsid w:val="00321845"/>
    <w:rsid w:val="003225D1"/>
    <w:rsid w:val="00322F14"/>
    <w:rsid w:val="0032558A"/>
    <w:rsid w:val="00327BAD"/>
    <w:rsid w:val="003324EC"/>
    <w:rsid w:val="003423E8"/>
    <w:rsid w:val="0034369E"/>
    <w:rsid w:val="00351FB1"/>
    <w:rsid w:val="00357122"/>
    <w:rsid w:val="00362276"/>
    <w:rsid w:val="00365D10"/>
    <w:rsid w:val="00367BBF"/>
    <w:rsid w:val="0037090E"/>
    <w:rsid w:val="00374271"/>
    <w:rsid w:val="00375313"/>
    <w:rsid w:val="003804FB"/>
    <w:rsid w:val="00381120"/>
    <w:rsid w:val="003824EC"/>
    <w:rsid w:val="003835D5"/>
    <w:rsid w:val="00391D60"/>
    <w:rsid w:val="00392697"/>
    <w:rsid w:val="003933FE"/>
    <w:rsid w:val="00397732"/>
    <w:rsid w:val="003A0014"/>
    <w:rsid w:val="003A07AF"/>
    <w:rsid w:val="003A20A3"/>
    <w:rsid w:val="003A2701"/>
    <w:rsid w:val="003A2FEA"/>
    <w:rsid w:val="003A41AB"/>
    <w:rsid w:val="003B709A"/>
    <w:rsid w:val="003D4C85"/>
    <w:rsid w:val="003D5264"/>
    <w:rsid w:val="003F1F09"/>
    <w:rsid w:val="003F3490"/>
    <w:rsid w:val="00401F8B"/>
    <w:rsid w:val="00403389"/>
    <w:rsid w:val="00405753"/>
    <w:rsid w:val="00410616"/>
    <w:rsid w:val="00420612"/>
    <w:rsid w:val="00423FFC"/>
    <w:rsid w:val="004343BD"/>
    <w:rsid w:val="00434E54"/>
    <w:rsid w:val="004412CC"/>
    <w:rsid w:val="0044253E"/>
    <w:rsid w:val="0044669A"/>
    <w:rsid w:val="00450958"/>
    <w:rsid w:val="004514B8"/>
    <w:rsid w:val="0046001C"/>
    <w:rsid w:val="004741FF"/>
    <w:rsid w:val="0048489C"/>
    <w:rsid w:val="004953C1"/>
    <w:rsid w:val="004A317D"/>
    <w:rsid w:val="004A4E1B"/>
    <w:rsid w:val="004A5425"/>
    <w:rsid w:val="004A6878"/>
    <w:rsid w:val="004A703E"/>
    <w:rsid w:val="004D037D"/>
    <w:rsid w:val="004D2323"/>
    <w:rsid w:val="004D465F"/>
    <w:rsid w:val="004E1265"/>
    <w:rsid w:val="004E4946"/>
    <w:rsid w:val="004E4C74"/>
    <w:rsid w:val="00501750"/>
    <w:rsid w:val="005167E8"/>
    <w:rsid w:val="00523BA1"/>
    <w:rsid w:val="005270F8"/>
    <w:rsid w:val="00527EBA"/>
    <w:rsid w:val="00532971"/>
    <w:rsid w:val="00537629"/>
    <w:rsid w:val="005444F5"/>
    <w:rsid w:val="005511CC"/>
    <w:rsid w:val="00556826"/>
    <w:rsid w:val="005573A7"/>
    <w:rsid w:val="00557BA9"/>
    <w:rsid w:val="0056076C"/>
    <w:rsid w:val="00562220"/>
    <w:rsid w:val="005641C4"/>
    <w:rsid w:val="00564AF0"/>
    <w:rsid w:val="00564E3C"/>
    <w:rsid w:val="005657DB"/>
    <w:rsid w:val="005A544E"/>
    <w:rsid w:val="005B1053"/>
    <w:rsid w:val="005C55C2"/>
    <w:rsid w:val="005C65F9"/>
    <w:rsid w:val="005D5880"/>
    <w:rsid w:val="005E514F"/>
    <w:rsid w:val="005E6F5E"/>
    <w:rsid w:val="005F0166"/>
    <w:rsid w:val="005F1832"/>
    <w:rsid w:val="005F2069"/>
    <w:rsid w:val="005F3389"/>
    <w:rsid w:val="005F3628"/>
    <w:rsid w:val="00607470"/>
    <w:rsid w:val="00607AD7"/>
    <w:rsid w:val="0061283A"/>
    <w:rsid w:val="00622B09"/>
    <w:rsid w:val="006243AC"/>
    <w:rsid w:val="00631A06"/>
    <w:rsid w:val="00635CAE"/>
    <w:rsid w:val="00645158"/>
    <w:rsid w:val="00647705"/>
    <w:rsid w:val="00651BE5"/>
    <w:rsid w:val="00660AA4"/>
    <w:rsid w:val="00663D91"/>
    <w:rsid w:val="00672C36"/>
    <w:rsid w:val="0067524B"/>
    <w:rsid w:val="00683CE2"/>
    <w:rsid w:val="006861A9"/>
    <w:rsid w:val="006953BF"/>
    <w:rsid w:val="0069732F"/>
    <w:rsid w:val="00697419"/>
    <w:rsid w:val="006A0B2F"/>
    <w:rsid w:val="006A1E70"/>
    <w:rsid w:val="006B06BA"/>
    <w:rsid w:val="006C45B6"/>
    <w:rsid w:val="006C73B5"/>
    <w:rsid w:val="006D1BBE"/>
    <w:rsid w:val="006D2A32"/>
    <w:rsid w:val="006D2F6F"/>
    <w:rsid w:val="00701CE2"/>
    <w:rsid w:val="00713684"/>
    <w:rsid w:val="00720D48"/>
    <w:rsid w:val="00727FD4"/>
    <w:rsid w:val="007313D8"/>
    <w:rsid w:val="00731993"/>
    <w:rsid w:val="00737DEC"/>
    <w:rsid w:val="00744856"/>
    <w:rsid w:val="0074601E"/>
    <w:rsid w:val="007528CB"/>
    <w:rsid w:val="0077502A"/>
    <w:rsid w:val="00776D0A"/>
    <w:rsid w:val="00787EAE"/>
    <w:rsid w:val="007912D9"/>
    <w:rsid w:val="00793DD5"/>
    <w:rsid w:val="007A024A"/>
    <w:rsid w:val="007C4867"/>
    <w:rsid w:val="007D2E94"/>
    <w:rsid w:val="007D39C6"/>
    <w:rsid w:val="007D5964"/>
    <w:rsid w:val="007D60E0"/>
    <w:rsid w:val="007E39A9"/>
    <w:rsid w:val="007F73A0"/>
    <w:rsid w:val="00802B28"/>
    <w:rsid w:val="00815471"/>
    <w:rsid w:val="00820B43"/>
    <w:rsid w:val="0082225C"/>
    <w:rsid w:val="0083746B"/>
    <w:rsid w:val="00850FC1"/>
    <w:rsid w:val="00867345"/>
    <w:rsid w:val="008673CF"/>
    <w:rsid w:val="00881138"/>
    <w:rsid w:val="00883114"/>
    <w:rsid w:val="008A282F"/>
    <w:rsid w:val="008A38B5"/>
    <w:rsid w:val="008A3F4F"/>
    <w:rsid w:val="008A5906"/>
    <w:rsid w:val="008C2455"/>
    <w:rsid w:val="008C6106"/>
    <w:rsid w:val="008D0ADA"/>
    <w:rsid w:val="008D2DB0"/>
    <w:rsid w:val="008F0809"/>
    <w:rsid w:val="008F20E0"/>
    <w:rsid w:val="008F344F"/>
    <w:rsid w:val="008F6F29"/>
    <w:rsid w:val="00905C44"/>
    <w:rsid w:val="00931F21"/>
    <w:rsid w:val="009364EE"/>
    <w:rsid w:val="0094740C"/>
    <w:rsid w:val="00955DC6"/>
    <w:rsid w:val="00956935"/>
    <w:rsid w:val="009617DE"/>
    <w:rsid w:val="009744A0"/>
    <w:rsid w:val="00981527"/>
    <w:rsid w:val="00981744"/>
    <w:rsid w:val="00981CCE"/>
    <w:rsid w:val="00993514"/>
    <w:rsid w:val="009A1D5C"/>
    <w:rsid w:val="009B10A7"/>
    <w:rsid w:val="009B1AA6"/>
    <w:rsid w:val="009C2703"/>
    <w:rsid w:val="009C4A65"/>
    <w:rsid w:val="009C718C"/>
    <w:rsid w:val="009D585C"/>
    <w:rsid w:val="009D7FBB"/>
    <w:rsid w:val="009E2D37"/>
    <w:rsid w:val="009E360F"/>
    <w:rsid w:val="009E3FE5"/>
    <w:rsid w:val="009F61AE"/>
    <w:rsid w:val="00A00465"/>
    <w:rsid w:val="00A00BB1"/>
    <w:rsid w:val="00A027A9"/>
    <w:rsid w:val="00A0554D"/>
    <w:rsid w:val="00A13CEC"/>
    <w:rsid w:val="00A16238"/>
    <w:rsid w:val="00A271BE"/>
    <w:rsid w:val="00A37086"/>
    <w:rsid w:val="00A42675"/>
    <w:rsid w:val="00A43F5D"/>
    <w:rsid w:val="00A54750"/>
    <w:rsid w:val="00A5685E"/>
    <w:rsid w:val="00A75A43"/>
    <w:rsid w:val="00A774DE"/>
    <w:rsid w:val="00A77F2E"/>
    <w:rsid w:val="00A91B4E"/>
    <w:rsid w:val="00A91E7C"/>
    <w:rsid w:val="00A91F25"/>
    <w:rsid w:val="00A9444C"/>
    <w:rsid w:val="00AB0468"/>
    <w:rsid w:val="00AB33EB"/>
    <w:rsid w:val="00AC25DB"/>
    <w:rsid w:val="00AC3BA5"/>
    <w:rsid w:val="00AD09F1"/>
    <w:rsid w:val="00AD4D03"/>
    <w:rsid w:val="00AD79EF"/>
    <w:rsid w:val="00AE194E"/>
    <w:rsid w:val="00B20B9A"/>
    <w:rsid w:val="00B344D9"/>
    <w:rsid w:val="00B44A21"/>
    <w:rsid w:val="00B463B8"/>
    <w:rsid w:val="00B51CE3"/>
    <w:rsid w:val="00B56E1F"/>
    <w:rsid w:val="00B61CF9"/>
    <w:rsid w:val="00B64976"/>
    <w:rsid w:val="00B665B9"/>
    <w:rsid w:val="00B667A3"/>
    <w:rsid w:val="00BA5C79"/>
    <w:rsid w:val="00BA7201"/>
    <w:rsid w:val="00BB2075"/>
    <w:rsid w:val="00BB4C8C"/>
    <w:rsid w:val="00BC625A"/>
    <w:rsid w:val="00BD075E"/>
    <w:rsid w:val="00BD302A"/>
    <w:rsid w:val="00BD7431"/>
    <w:rsid w:val="00BE731C"/>
    <w:rsid w:val="00BF0741"/>
    <w:rsid w:val="00BF59E5"/>
    <w:rsid w:val="00C06CBD"/>
    <w:rsid w:val="00C07E4E"/>
    <w:rsid w:val="00C155D2"/>
    <w:rsid w:val="00C2289A"/>
    <w:rsid w:val="00C22BEA"/>
    <w:rsid w:val="00C2574C"/>
    <w:rsid w:val="00C30862"/>
    <w:rsid w:val="00C342EB"/>
    <w:rsid w:val="00C40B12"/>
    <w:rsid w:val="00C4412C"/>
    <w:rsid w:val="00C44598"/>
    <w:rsid w:val="00C453CD"/>
    <w:rsid w:val="00C45B24"/>
    <w:rsid w:val="00C477A3"/>
    <w:rsid w:val="00C47D98"/>
    <w:rsid w:val="00C52E20"/>
    <w:rsid w:val="00C5306A"/>
    <w:rsid w:val="00C6276F"/>
    <w:rsid w:val="00C71107"/>
    <w:rsid w:val="00C866B4"/>
    <w:rsid w:val="00C913C5"/>
    <w:rsid w:val="00C91E37"/>
    <w:rsid w:val="00CA4D91"/>
    <w:rsid w:val="00CC072F"/>
    <w:rsid w:val="00CC326E"/>
    <w:rsid w:val="00CC5AE2"/>
    <w:rsid w:val="00CD2CA3"/>
    <w:rsid w:val="00CD2F8E"/>
    <w:rsid w:val="00CD4A00"/>
    <w:rsid w:val="00CD5E51"/>
    <w:rsid w:val="00CD746D"/>
    <w:rsid w:val="00CF5BD3"/>
    <w:rsid w:val="00CF73AC"/>
    <w:rsid w:val="00CF7464"/>
    <w:rsid w:val="00D02F88"/>
    <w:rsid w:val="00D128CE"/>
    <w:rsid w:val="00D22AE9"/>
    <w:rsid w:val="00D31342"/>
    <w:rsid w:val="00D40D71"/>
    <w:rsid w:val="00D51090"/>
    <w:rsid w:val="00D5244F"/>
    <w:rsid w:val="00D6384A"/>
    <w:rsid w:val="00D746FC"/>
    <w:rsid w:val="00D90789"/>
    <w:rsid w:val="00D941A7"/>
    <w:rsid w:val="00DA2B09"/>
    <w:rsid w:val="00DA4ADB"/>
    <w:rsid w:val="00DA5809"/>
    <w:rsid w:val="00DA7FF2"/>
    <w:rsid w:val="00DB36FD"/>
    <w:rsid w:val="00DB3EF9"/>
    <w:rsid w:val="00DC2053"/>
    <w:rsid w:val="00DC2712"/>
    <w:rsid w:val="00DC4221"/>
    <w:rsid w:val="00DC5C35"/>
    <w:rsid w:val="00DD1D04"/>
    <w:rsid w:val="00DD7664"/>
    <w:rsid w:val="00DF07BF"/>
    <w:rsid w:val="00E010EF"/>
    <w:rsid w:val="00E0421F"/>
    <w:rsid w:val="00E05485"/>
    <w:rsid w:val="00E1018E"/>
    <w:rsid w:val="00E14E1B"/>
    <w:rsid w:val="00E16872"/>
    <w:rsid w:val="00E26695"/>
    <w:rsid w:val="00E4081E"/>
    <w:rsid w:val="00E41CC0"/>
    <w:rsid w:val="00E4338A"/>
    <w:rsid w:val="00E436FB"/>
    <w:rsid w:val="00E55A25"/>
    <w:rsid w:val="00E65AAB"/>
    <w:rsid w:val="00E70F92"/>
    <w:rsid w:val="00E737F3"/>
    <w:rsid w:val="00E82D66"/>
    <w:rsid w:val="00E82E67"/>
    <w:rsid w:val="00E87F3D"/>
    <w:rsid w:val="00EB4587"/>
    <w:rsid w:val="00ED1EFD"/>
    <w:rsid w:val="00ED2AA6"/>
    <w:rsid w:val="00ED2DB2"/>
    <w:rsid w:val="00EE0AE2"/>
    <w:rsid w:val="00EF017C"/>
    <w:rsid w:val="00EF0706"/>
    <w:rsid w:val="00F02C9D"/>
    <w:rsid w:val="00F1609A"/>
    <w:rsid w:val="00F2100D"/>
    <w:rsid w:val="00F24711"/>
    <w:rsid w:val="00F2775A"/>
    <w:rsid w:val="00F31E18"/>
    <w:rsid w:val="00F46E65"/>
    <w:rsid w:val="00F47E3B"/>
    <w:rsid w:val="00F5209E"/>
    <w:rsid w:val="00F718CE"/>
    <w:rsid w:val="00F72EBD"/>
    <w:rsid w:val="00F840D3"/>
    <w:rsid w:val="00F9103D"/>
    <w:rsid w:val="00FA2899"/>
    <w:rsid w:val="00FB0570"/>
    <w:rsid w:val="00FB0B10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BB4C8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B4C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bes.com/2010/02/19/expensive-drugs-cost-business-healthcare-rare-diseas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3293</Characters>
  <Application>Microsoft Office Word</Application>
  <DocSecurity>0</DocSecurity>
  <Lines>27</Lines>
  <Paragraphs>7</Paragraphs>
  <ScaleCrop>false</ScaleCrop>
  <Company>.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cp:lastPrinted>2011-09-28T15:10:00Z</cp:lastPrinted>
  <dcterms:created xsi:type="dcterms:W3CDTF">2011-11-02T13:59:00Z</dcterms:created>
  <dcterms:modified xsi:type="dcterms:W3CDTF">2012-08-01T20:12:00Z</dcterms:modified>
</cp:coreProperties>
</file>