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9C5695" w:rsidP="00556826">
      <w:pPr>
        <w:jc w:val="both"/>
      </w:pPr>
      <w:r>
        <w:t>Acct/Busa/</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350F8F">
        <w:rPr>
          <w:b/>
          <w:smallCaps/>
          <w:sz w:val="32"/>
          <w:szCs w:val="32"/>
        </w:rPr>
        <w:t>10</w:t>
      </w:r>
      <w:r>
        <w:rPr>
          <w:b/>
          <w:smallCaps/>
          <w:sz w:val="32"/>
          <w:szCs w:val="32"/>
        </w:rPr>
        <w:t xml:space="preserve">: </w:t>
      </w:r>
      <w:r w:rsidR="00135953">
        <w:rPr>
          <w:b/>
          <w:smallCaps/>
          <w:sz w:val="32"/>
          <w:szCs w:val="32"/>
        </w:rPr>
        <w:t>Extensions in Econometrics</w:t>
      </w:r>
    </w:p>
    <w:p w:rsidR="00B64976" w:rsidRDefault="00B64976" w:rsidP="00E26695">
      <w:pPr>
        <w:jc w:val="center"/>
      </w:pPr>
    </w:p>
    <w:p w:rsidR="005C2B52" w:rsidRDefault="005C2B52" w:rsidP="005C2B52">
      <w:pPr>
        <w:numPr>
          <w:ilvl w:val="0"/>
          <w:numId w:val="2"/>
        </w:numPr>
        <w:jc w:val="both"/>
        <w:rPr>
          <w:sz w:val="28"/>
          <w:szCs w:val="28"/>
        </w:rPr>
      </w:pPr>
      <w:r>
        <w:rPr>
          <w:sz w:val="28"/>
          <w:szCs w:val="28"/>
        </w:rPr>
        <w:t>Predicting the future</w:t>
      </w:r>
    </w:p>
    <w:p w:rsidR="005C2B52" w:rsidRDefault="005C2B52" w:rsidP="005C2B52">
      <w:pPr>
        <w:numPr>
          <w:ilvl w:val="1"/>
          <w:numId w:val="2"/>
        </w:numPr>
        <w:jc w:val="both"/>
        <w:rPr>
          <w:sz w:val="28"/>
          <w:szCs w:val="28"/>
        </w:rPr>
      </w:pPr>
      <w:r>
        <w:rPr>
          <w:sz w:val="28"/>
          <w:szCs w:val="28"/>
        </w:rPr>
        <w:t>So far we’ve figured out how to estimate a relationship between several independent variables and one dependent variable.</w:t>
      </w:r>
    </w:p>
    <w:p w:rsidR="005C2B52" w:rsidRDefault="005C2B52" w:rsidP="005C2B52">
      <w:pPr>
        <w:numPr>
          <w:ilvl w:val="1"/>
          <w:numId w:val="2"/>
        </w:numPr>
        <w:jc w:val="both"/>
        <w:rPr>
          <w:sz w:val="28"/>
          <w:szCs w:val="28"/>
        </w:rPr>
      </w:pPr>
      <w:r>
        <w:rPr>
          <w:sz w:val="28"/>
          <w:szCs w:val="28"/>
        </w:rPr>
        <w:t>We also discussed how to do a time series: where the data spans across time periods rather than places (e.g. countries and states).</w:t>
      </w:r>
    </w:p>
    <w:p w:rsidR="005C2B52" w:rsidRDefault="005C2B52" w:rsidP="005C2B52">
      <w:pPr>
        <w:numPr>
          <w:ilvl w:val="1"/>
          <w:numId w:val="2"/>
        </w:numPr>
        <w:jc w:val="both"/>
        <w:rPr>
          <w:sz w:val="28"/>
          <w:szCs w:val="28"/>
        </w:rPr>
      </w:pPr>
      <w:r>
        <w:rPr>
          <w:sz w:val="28"/>
          <w:szCs w:val="28"/>
        </w:rPr>
        <w:t>One thing we can do is use this information to predict the future, either by:</w:t>
      </w:r>
    </w:p>
    <w:p w:rsidR="005C2B52" w:rsidRDefault="005C2B52" w:rsidP="005C2B52">
      <w:pPr>
        <w:numPr>
          <w:ilvl w:val="2"/>
          <w:numId w:val="2"/>
        </w:numPr>
        <w:jc w:val="both"/>
        <w:rPr>
          <w:sz w:val="28"/>
          <w:szCs w:val="28"/>
        </w:rPr>
      </w:pPr>
      <w:r>
        <w:rPr>
          <w:sz w:val="28"/>
          <w:szCs w:val="28"/>
        </w:rPr>
        <w:t>Estimating future values of independent variables based on the year. For example, estimating the cost of Social Security by estimating how many elderly individuals there will be.</w:t>
      </w:r>
    </w:p>
    <w:p w:rsidR="005C2B52" w:rsidRDefault="005C2B52" w:rsidP="005C2B52">
      <w:pPr>
        <w:numPr>
          <w:ilvl w:val="2"/>
          <w:numId w:val="2"/>
        </w:numPr>
        <w:jc w:val="both"/>
        <w:rPr>
          <w:sz w:val="28"/>
          <w:szCs w:val="28"/>
        </w:rPr>
      </w:pPr>
      <w:r>
        <w:rPr>
          <w:sz w:val="28"/>
          <w:szCs w:val="28"/>
        </w:rPr>
        <w:t>Putting “year” into the regression directly as an independent variable.</w:t>
      </w:r>
    </w:p>
    <w:p w:rsidR="005C2B52" w:rsidRDefault="005C2B52" w:rsidP="005C2B52">
      <w:pPr>
        <w:numPr>
          <w:ilvl w:val="2"/>
          <w:numId w:val="2"/>
        </w:numPr>
        <w:jc w:val="both"/>
        <w:rPr>
          <w:sz w:val="28"/>
          <w:szCs w:val="28"/>
        </w:rPr>
      </w:pPr>
      <w:r>
        <w:rPr>
          <w:sz w:val="28"/>
          <w:szCs w:val="28"/>
        </w:rPr>
        <w:t>The former method is more accurate, but more complicated. The latter method is often sufficient for a general estimate of, say, sales or population.</w:t>
      </w:r>
    </w:p>
    <w:p w:rsidR="005C2B52" w:rsidRDefault="005C2B52" w:rsidP="005C2B52">
      <w:pPr>
        <w:numPr>
          <w:ilvl w:val="2"/>
          <w:numId w:val="2"/>
        </w:numPr>
        <w:jc w:val="both"/>
        <w:rPr>
          <w:sz w:val="28"/>
          <w:szCs w:val="28"/>
        </w:rPr>
      </w:pPr>
      <w:r>
        <w:rPr>
          <w:sz w:val="28"/>
          <w:szCs w:val="28"/>
        </w:rPr>
        <w:t>Note that the former method is just the latter method several times over.</w:t>
      </w:r>
    </w:p>
    <w:p w:rsidR="005C2B52" w:rsidRDefault="005C2B52" w:rsidP="005C2B52">
      <w:pPr>
        <w:numPr>
          <w:ilvl w:val="1"/>
          <w:numId w:val="2"/>
        </w:numPr>
        <w:jc w:val="both"/>
        <w:rPr>
          <w:sz w:val="28"/>
          <w:szCs w:val="28"/>
        </w:rPr>
      </w:pPr>
      <w:r>
        <w:rPr>
          <w:sz w:val="28"/>
          <w:szCs w:val="28"/>
        </w:rPr>
        <w:t>To estimate the data, we just treat “year” like any other variable. If the coefficient for year is 0.2 and we want to know what the world will be like in 2025, we estimate by multiplying 0.2 and 2025. After considering the other variables (if any) and adding the intercept we have an estimate of the future.</w:t>
      </w:r>
    </w:p>
    <w:p w:rsidR="005C2B52" w:rsidRDefault="005C2B52" w:rsidP="005C2B52">
      <w:pPr>
        <w:numPr>
          <w:ilvl w:val="0"/>
          <w:numId w:val="2"/>
        </w:numPr>
        <w:jc w:val="both"/>
        <w:rPr>
          <w:sz w:val="28"/>
          <w:szCs w:val="28"/>
        </w:rPr>
      </w:pPr>
      <w:r>
        <w:rPr>
          <w:sz w:val="28"/>
          <w:szCs w:val="28"/>
        </w:rPr>
        <w:t>Forecasting warnings</w:t>
      </w:r>
    </w:p>
    <w:p w:rsidR="005C2B52" w:rsidRDefault="005C2B52" w:rsidP="005C2B52">
      <w:pPr>
        <w:numPr>
          <w:ilvl w:val="1"/>
          <w:numId w:val="2"/>
        </w:numPr>
        <w:jc w:val="both"/>
        <w:rPr>
          <w:sz w:val="28"/>
          <w:szCs w:val="28"/>
        </w:rPr>
      </w:pPr>
      <w:r>
        <w:rPr>
          <w:sz w:val="28"/>
          <w:szCs w:val="28"/>
        </w:rPr>
        <w:t>Forecasting is powerful, but not all-powerful. Like regressions, it comes with some assumptions, namely that the pattern of data won’t change.</w:t>
      </w:r>
    </w:p>
    <w:p w:rsidR="005C2B52" w:rsidRDefault="005C2B52" w:rsidP="005C2B52">
      <w:pPr>
        <w:numPr>
          <w:ilvl w:val="1"/>
          <w:numId w:val="2"/>
        </w:numPr>
        <w:jc w:val="both"/>
        <w:rPr>
          <w:sz w:val="28"/>
          <w:szCs w:val="28"/>
        </w:rPr>
      </w:pPr>
      <w:r>
        <w:rPr>
          <w:sz w:val="28"/>
          <w:szCs w:val="28"/>
        </w:rPr>
        <w:t>The problem to keep in mind with forecasting is naively forecasting. Consider this comic:</w:t>
      </w:r>
    </w:p>
    <w:p w:rsidR="005C2B52" w:rsidRDefault="005C2B52" w:rsidP="005C2B52">
      <w:pPr>
        <w:ind w:left="1080"/>
        <w:jc w:val="center"/>
        <w:rPr>
          <w:sz w:val="28"/>
          <w:szCs w:val="28"/>
        </w:rPr>
      </w:pPr>
      <w:r>
        <w:rPr>
          <w:noProof/>
        </w:rPr>
        <w:lastRenderedPageBreak/>
        <w:drawing>
          <wp:inline distT="0" distB="0" distL="0" distR="0">
            <wp:extent cx="4594225" cy="3686810"/>
            <wp:effectExtent l="19050" t="0" r="0" b="0"/>
            <wp:docPr id="2" name="Picture 1" descr="Sustain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le"/>
                    <pic:cNvPicPr>
                      <a:picLocks noChangeAspect="1" noChangeArrowheads="1"/>
                    </pic:cNvPicPr>
                  </pic:nvPicPr>
                  <pic:blipFill>
                    <a:blip r:embed="rId8"/>
                    <a:srcRect/>
                    <a:stretch>
                      <a:fillRect/>
                    </a:stretch>
                  </pic:blipFill>
                  <pic:spPr bwMode="auto">
                    <a:xfrm>
                      <a:off x="0" y="0"/>
                      <a:ext cx="4594225" cy="3686810"/>
                    </a:xfrm>
                    <a:prstGeom prst="rect">
                      <a:avLst/>
                    </a:prstGeom>
                    <a:noFill/>
                    <a:ln w="9525">
                      <a:noFill/>
                      <a:miter lim="800000"/>
                      <a:headEnd/>
                      <a:tailEnd/>
                    </a:ln>
                  </pic:spPr>
                </pic:pic>
              </a:graphicData>
            </a:graphic>
          </wp:inline>
        </w:drawing>
      </w:r>
    </w:p>
    <w:p w:rsidR="005C2B52" w:rsidRDefault="005C2B52" w:rsidP="005C2B52">
      <w:pPr>
        <w:numPr>
          <w:ilvl w:val="2"/>
          <w:numId w:val="2"/>
        </w:numPr>
        <w:jc w:val="both"/>
        <w:rPr>
          <w:sz w:val="28"/>
          <w:szCs w:val="28"/>
        </w:rPr>
      </w:pPr>
      <w:r>
        <w:rPr>
          <w:sz w:val="28"/>
          <w:szCs w:val="28"/>
        </w:rPr>
        <w:t>Will every word we say be “sustainable” in 2109? Of course not, but the naïve forecast would suggest otherwise.</w:t>
      </w:r>
    </w:p>
    <w:p w:rsidR="005C2B52" w:rsidRDefault="005C2B52" w:rsidP="005C2B52">
      <w:pPr>
        <w:numPr>
          <w:ilvl w:val="1"/>
          <w:numId w:val="2"/>
        </w:numPr>
        <w:jc w:val="both"/>
        <w:rPr>
          <w:sz w:val="28"/>
          <w:szCs w:val="28"/>
        </w:rPr>
      </w:pPr>
      <w:r>
        <w:rPr>
          <w:sz w:val="28"/>
          <w:szCs w:val="28"/>
        </w:rPr>
        <w:t xml:space="preserve">Another thing to keep in mind is </w:t>
      </w:r>
      <w:r>
        <w:rPr>
          <w:i/>
          <w:sz w:val="28"/>
          <w:szCs w:val="28"/>
        </w:rPr>
        <w:t>seasonal variation</w:t>
      </w:r>
      <w:r>
        <w:rPr>
          <w:sz w:val="28"/>
          <w:szCs w:val="28"/>
        </w:rPr>
        <w:t xml:space="preserve">—patterns of change in a time series within a year—and </w:t>
      </w:r>
      <w:r>
        <w:rPr>
          <w:i/>
          <w:sz w:val="28"/>
          <w:szCs w:val="28"/>
        </w:rPr>
        <w:t>cyclical variation</w:t>
      </w:r>
      <w:r>
        <w:rPr>
          <w:sz w:val="28"/>
          <w:szCs w:val="28"/>
        </w:rPr>
        <w:t>—patents of change in a time series longer than a year.</w:t>
      </w:r>
    </w:p>
    <w:p w:rsidR="005C2B52" w:rsidRDefault="005C2B52" w:rsidP="005C2B52">
      <w:pPr>
        <w:numPr>
          <w:ilvl w:val="2"/>
          <w:numId w:val="2"/>
        </w:numPr>
        <w:jc w:val="both"/>
        <w:rPr>
          <w:sz w:val="28"/>
          <w:szCs w:val="28"/>
        </w:rPr>
      </w:pPr>
      <w:r>
        <w:rPr>
          <w:sz w:val="28"/>
          <w:szCs w:val="28"/>
        </w:rPr>
        <w:t>A cyclical variation might be a pattern of boom and bust.</w:t>
      </w:r>
    </w:p>
    <w:p w:rsidR="005C2B52" w:rsidRDefault="005C2B52" w:rsidP="005C2B52">
      <w:pPr>
        <w:numPr>
          <w:ilvl w:val="2"/>
          <w:numId w:val="2"/>
        </w:numPr>
        <w:jc w:val="both"/>
        <w:rPr>
          <w:sz w:val="28"/>
          <w:szCs w:val="28"/>
        </w:rPr>
      </w:pPr>
      <w:r>
        <w:rPr>
          <w:sz w:val="28"/>
          <w:szCs w:val="28"/>
        </w:rPr>
        <w:t>A seasonal variation might consumer sales and the holiday season.</w:t>
      </w:r>
    </w:p>
    <w:p w:rsidR="005C2B52" w:rsidRDefault="005C2B52" w:rsidP="005C2B52">
      <w:pPr>
        <w:numPr>
          <w:ilvl w:val="2"/>
          <w:numId w:val="2"/>
        </w:numPr>
        <w:jc w:val="both"/>
        <w:rPr>
          <w:sz w:val="28"/>
          <w:szCs w:val="28"/>
        </w:rPr>
      </w:pPr>
      <w:r>
        <w:rPr>
          <w:sz w:val="28"/>
          <w:szCs w:val="28"/>
        </w:rPr>
        <w:t>These variations are important because if your sample size is too small, you won’t get an accurate picture: you might be predicting based on Christmas season data, for example.</w:t>
      </w:r>
    </w:p>
    <w:p w:rsidR="005C2B52" w:rsidRDefault="005C2B52" w:rsidP="005C2B52">
      <w:pPr>
        <w:numPr>
          <w:ilvl w:val="1"/>
          <w:numId w:val="2"/>
        </w:numPr>
        <w:jc w:val="both"/>
        <w:rPr>
          <w:sz w:val="28"/>
          <w:szCs w:val="28"/>
        </w:rPr>
      </w:pPr>
      <w:r>
        <w:rPr>
          <w:sz w:val="28"/>
          <w:szCs w:val="28"/>
        </w:rPr>
        <w:t>Seasonality can lead to another problem: autocorrelation.</w:t>
      </w:r>
    </w:p>
    <w:p w:rsidR="005C2B52" w:rsidRDefault="005C2B52" w:rsidP="005C2B52">
      <w:pPr>
        <w:numPr>
          <w:ilvl w:val="2"/>
          <w:numId w:val="2"/>
        </w:numPr>
        <w:jc w:val="both"/>
        <w:rPr>
          <w:sz w:val="28"/>
          <w:szCs w:val="28"/>
        </w:rPr>
      </w:pPr>
      <w:r>
        <w:rPr>
          <w:sz w:val="28"/>
          <w:szCs w:val="28"/>
        </w:rPr>
        <w:t>Regressions assume that there is no pattern in the residuals of the data.</w:t>
      </w:r>
    </w:p>
    <w:p w:rsidR="005C2B52" w:rsidRDefault="005C2B52" w:rsidP="005C2B52">
      <w:pPr>
        <w:numPr>
          <w:ilvl w:val="2"/>
          <w:numId w:val="2"/>
        </w:numPr>
        <w:jc w:val="both"/>
        <w:rPr>
          <w:sz w:val="28"/>
          <w:szCs w:val="28"/>
        </w:rPr>
      </w:pPr>
      <w:r>
        <w:rPr>
          <w:sz w:val="28"/>
          <w:szCs w:val="28"/>
        </w:rPr>
        <w:t>But if you’re estimating a line, regular variations will create regular residuals. A pattern.</w:t>
      </w:r>
    </w:p>
    <w:p w:rsidR="005C2B52" w:rsidRDefault="005C2B52" w:rsidP="005C2B52">
      <w:pPr>
        <w:numPr>
          <w:ilvl w:val="2"/>
          <w:numId w:val="2"/>
        </w:numPr>
        <w:jc w:val="both"/>
        <w:rPr>
          <w:sz w:val="28"/>
          <w:szCs w:val="28"/>
        </w:rPr>
      </w:pPr>
      <w:r>
        <w:rPr>
          <w:sz w:val="28"/>
          <w:szCs w:val="28"/>
        </w:rPr>
        <w:t xml:space="preserve">This is called </w:t>
      </w:r>
      <w:r>
        <w:rPr>
          <w:i/>
          <w:sz w:val="28"/>
          <w:szCs w:val="28"/>
        </w:rPr>
        <w:t>autocorrelation</w:t>
      </w:r>
      <w:r>
        <w:rPr>
          <w:sz w:val="28"/>
          <w:szCs w:val="28"/>
        </w:rPr>
        <w:t>—successive residuals are correlated. It is also called serial correlation.</w:t>
      </w:r>
    </w:p>
    <w:p w:rsidR="005C2B52" w:rsidRDefault="005C2B52" w:rsidP="005C2B52">
      <w:pPr>
        <w:numPr>
          <w:ilvl w:val="2"/>
          <w:numId w:val="2"/>
        </w:numPr>
        <w:jc w:val="both"/>
        <w:rPr>
          <w:sz w:val="28"/>
          <w:szCs w:val="28"/>
        </w:rPr>
      </w:pPr>
      <w:r>
        <w:rPr>
          <w:sz w:val="28"/>
          <w:szCs w:val="28"/>
        </w:rPr>
        <w:t>Running a regression with autocorrelation will give you biased results. There is a test of autocorrelation (called Durbin-Watson statistic) and corrections for it, but we won’t get into that here. Just something to be aware of in the future.</w:t>
      </w:r>
    </w:p>
    <w:p w:rsidR="005C2B52" w:rsidRPr="001F684A" w:rsidRDefault="005C2B52" w:rsidP="005C2B52">
      <w:pPr>
        <w:numPr>
          <w:ilvl w:val="1"/>
          <w:numId w:val="2"/>
        </w:numPr>
        <w:jc w:val="both"/>
        <w:rPr>
          <w:sz w:val="28"/>
          <w:szCs w:val="28"/>
        </w:rPr>
      </w:pPr>
      <w:r>
        <w:rPr>
          <w:sz w:val="28"/>
          <w:szCs w:val="28"/>
        </w:rPr>
        <w:lastRenderedPageBreak/>
        <w:t>There’s a lot more to forecasting which is why we have a whole course about it—ECON 350: Business Cycles and Forecasting—but this should give you a good idea of the challenges that come with this part of econometrics.</w:t>
      </w:r>
    </w:p>
    <w:p w:rsidR="005C2B52" w:rsidRDefault="005C2B52" w:rsidP="005C2B52">
      <w:pPr>
        <w:numPr>
          <w:ilvl w:val="0"/>
          <w:numId w:val="2"/>
        </w:numPr>
        <w:jc w:val="both"/>
        <w:rPr>
          <w:sz w:val="28"/>
          <w:szCs w:val="28"/>
        </w:rPr>
      </w:pPr>
      <w:r>
        <w:rPr>
          <w:sz w:val="28"/>
          <w:szCs w:val="28"/>
        </w:rPr>
        <w:t>The difficulty of experiment</w:t>
      </w:r>
    </w:p>
    <w:p w:rsidR="005C2B52" w:rsidRDefault="005C2B52" w:rsidP="005C2B52">
      <w:pPr>
        <w:numPr>
          <w:ilvl w:val="1"/>
          <w:numId w:val="2"/>
        </w:numPr>
        <w:jc w:val="both"/>
        <w:rPr>
          <w:sz w:val="28"/>
          <w:szCs w:val="28"/>
        </w:rPr>
      </w:pPr>
      <w:r>
        <w:rPr>
          <w:sz w:val="28"/>
          <w:szCs w:val="28"/>
        </w:rPr>
        <w:t>We have econometrics because economists (and others) can’t run controlled experiments.</w:t>
      </w:r>
    </w:p>
    <w:p w:rsidR="005C2B52" w:rsidRDefault="005C2B52" w:rsidP="005C2B52">
      <w:pPr>
        <w:numPr>
          <w:ilvl w:val="2"/>
          <w:numId w:val="2"/>
        </w:numPr>
        <w:jc w:val="both"/>
        <w:rPr>
          <w:sz w:val="28"/>
          <w:szCs w:val="28"/>
        </w:rPr>
      </w:pPr>
      <w:r>
        <w:rPr>
          <w:sz w:val="28"/>
          <w:szCs w:val="28"/>
        </w:rPr>
        <w:t>It is impractical—and ethically dubious—to run experiments in economics, especially for questions concerning policy.</w:t>
      </w:r>
    </w:p>
    <w:p w:rsidR="005C2B52" w:rsidRDefault="005C2B52" w:rsidP="005C2B52">
      <w:pPr>
        <w:numPr>
          <w:ilvl w:val="2"/>
          <w:numId w:val="2"/>
        </w:numPr>
        <w:jc w:val="both"/>
        <w:rPr>
          <w:sz w:val="28"/>
          <w:szCs w:val="28"/>
        </w:rPr>
      </w:pPr>
      <w:r>
        <w:rPr>
          <w:sz w:val="28"/>
          <w:szCs w:val="28"/>
        </w:rPr>
        <w:t>To run an experiment on, say, if immigration helps an economy, we would need to organize two self-contained societies with identical populations (both in size and composition) and then forcibly immigrate a sizable number of people into one of the societies. Depending on the nature of the immigration question, we might have to also force an equal number of non-immigrants into the other society.</w:t>
      </w:r>
    </w:p>
    <w:p w:rsidR="005C2B52" w:rsidRDefault="005C2B52" w:rsidP="005C2B52">
      <w:pPr>
        <w:numPr>
          <w:ilvl w:val="1"/>
          <w:numId w:val="2"/>
        </w:numPr>
        <w:jc w:val="both"/>
        <w:rPr>
          <w:sz w:val="28"/>
          <w:szCs w:val="28"/>
        </w:rPr>
      </w:pPr>
      <w:r>
        <w:rPr>
          <w:sz w:val="28"/>
          <w:szCs w:val="28"/>
        </w:rPr>
        <w:t>So we must rely on real-world data and do the best we can. One of the themes I hope you picked up in writing your paper is that, as analysts, we are prisoners of the data.</w:t>
      </w:r>
    </w:p>
    <w:p w:rsidR="005C2B52" w:rsidRDefault="005C2B52" w:rsidP="005C2B52">
      <w:pPr>
        <w:numPr>
          <w:ilvl w:val="1"/>
          <w:numId w:val="2"/>
        </w:numPr>
        <w:jc w:val="both"/>
        <w:rPr>
          <w:sz w:val="28"/>
          <w:szCs w:val="28"/>
        </w:rPr>
      </w:pPr>
      <w:r>
        <w:rPr>
          <w:sz w:val="28"/>
          <w:szCs w:val="28"/>
        </w:rPr>
        <w:t>One way to use the data is regression analysis. There are lots of different ways to use the analysis, and lots of different complications which regressions address the complications of reality. We will now explore some of the more exotic ways.</w:t>
      </w:r>
    </w:p>
    <w:p w:rsidR="005C2B52" w:rsidRDefault="005C2B52" w:rsidP="005C2B52">
      <w:pPr>
        <w:numPr>
          <w:ilvl w:val="0"/>
          <w:numId w:val="2"/>
        </w:numPr>
        <w:jc w:val="both"/>
        <w:rPr>
          <w:sz w:val="28"/>
          <w:szCs w:val="28"/>
        </w:rPr>
      </w:pPr>
      <w:r>
        <w:rPr>
          <w:sz w:val="28"/>
          <w:szCs w:val="28"/>
        </w:rPr>
        <w:t>Discontinuity</w:t>
      </w:r>
    </w:p>
    <w:p w:rsidR="005C2B52" w:rsidRDefault="005C2B52" w:rsidP="005C2B52">
      <w:pPr>
        <w:numPr>
          <w:ilvl w:val="1"/>
          <w:numId w:val="2"/>
        </w:numPr>
        <w:jc w:val="both"/>
        <w:rPr>
          <w:sz w:val="28"/>
          <w:szCs w:val="28"/>
        </w:rPr>
      </w:pPr>
      <w:r>
        <w:rPr>
          <w:sz w:val="28"/>
          <w:szCs w:val="28"/>
        </w:rPr>
        <w:t>Again, imagine the ideal experiment: two identical groups with one undergoing some kind of treatment. Then we see how the treatment is different from the control to measure the impact of the treatment.</w:t>
      </w:r>
    </w:p>
    <w:p w:rsidR="005C2B52" w:rsidRDefault="005C2B52" w:rsidP="005C2B52">
      <w:pPr>
        <w:numPr>
          <w:ilvl w:val="1"/>
          <w:numId w:val="2"/>
        </w:numPr>
        <w:jc w:val="both"/>
        <w:rPr>
          <w:sz w:val="28"/>
          <w:szCs w:val="28"/>
        </w:rPr>
      </w:pPr>
      <w:r>
        <w:rPr>
          <w:sz w:val="28"/>
          <w:szCs w:val="28"/>
        </w:rPr>
        <w:t>While we can’t directly do that, sometimes a single population has a line and only one side of the line is treated.</w:t>
      </w:r>
    </w:p>
    <w:p w:rsidR="005C2B52" w:rsidRDefault="005C2B52" w:rsidP="005C2B52">
      <w:pPr>
        <w:numPr>
          <w:ilvl w:val="2"/>
          <w:numId w:val="2"/>
        </w:numPr>
        <w:jc w:val="both"/>
        <w:rPr>
          <w:sz w:val="28"/>
          <w:szCs w:val="28"/>
        </w:rPr>
      </w:pPr>
      <w:r>
        <w:rPr>
          <w:sz w:val="28"/>
          <w:szCs w:val="28"/>
        </w:rPr>
        <w:t>Because treatment is absolute (it affects everyone on one side equally, no matter how close they are to the edge) and it’s unlikely that someone barely on one side is that different from someone just barely on the other side, we have, effectively, a controlled experiment.</w:t>
      </w:r>
    </w:p>
    <w:p w:rsidR="005C2B52" w:rsidRDefault="005C2B52" w:rsidP="005C2B52">
      <w:pPr>
        <w:numPr>
          <w:ilvl w:val="2"/>
          <w:numId w:val="2"/>
        </w:numPr>
        <w:jc w:val="both"/>
        <w:rPr>
          <w:sz w:val="28"/>
          <w:szCs w:val="28"/>
        </w:rPr>
      </w:pPr>
      <w:r>
        <w:rPr>
          <w:sz w:val="28"/>
          <w:szCs w:val="28"/>
          <w:u w:val="single"/>
        </w:rPr>
        <w:t>Example</w:t>
      </w:r>
      <w:r>
        <w:rPr>
          <w:sz w:val="28"/>
          <w:szCs w:val="28"/>
        </w:rPr>
        <w:t xml:space="preserve">: How much does graduating with honors matter for future earnings potential? To graduate with honors, you need at least 3.35 GPA. It’s probably true that a student with a 3.35 GPA isn’t that different than one with a 3.34 GPA. But only one of them gets the treatment. By comparing the earning </w:t>
      </w:r>
      <w:r>
        <w:rPr>
          <w:sz w:val="28"/>
          <w:szCs w:val="28"/>
        </w:rPr>
        <w:lastRenderedPageBreak/>
        <w:t>potentials of many such small distinctions, we can estimate an effect.</w:t>
      </w:r>
    </w:p>
    <w:p w:rsidR="005C2B52" w:rsidRDefault="005C2B52" w:rsidP="005C2B52">
      <w:pPr>
        <w:numPr>
          <w:ilvl w:val="2"/>
          <w:numId w:val="2"/>
        </w:numPr>
        <w:jc w:val="both"/>
        <w:rPr>
          <w:sz w:val="28"/>
          <w:szCs w:val="28"/>
        </w:rPr>
      </w:pPr>
      <w:r w:rsidRPr="001F684A">
        <w:rPr>
          <w:sz w:val="28"/>
          <w:szCs w:val="28"/>
          <w:u w:val="single"/>
        </w:rPr>
        <w:t>Example</w:t>
      </w:r>
      <w:r w:rsidRPr="001F684A">
        <w:rPr>
          <w:sz w:val="28"/>
          <w:szCs w:val="28"/>
        </w:rPr>
        <w:t>: In 2008, the Romania government provided vouchers to buy computers to every family below the poverty line. Economists Ofer Malamud and Cristian Pop-Eleches examine the effects</w:t>
      </w:r>
      <w:r w:rsidRPr="001F684A">
        <w:rPr>
          <w:rFonts w:ascii="Times" w:hAnsi="Times" w:cs="Times"/>
          <w:sz w:val="28"/>
          <w:szCs w:val="28"/>
        </w:rPr>
        <w:t xml:space="preserve">. </w:t>
      </w:r>
      <w:r>
        <w:rPr>
          <w:sz w:val="28"/>
          <w:szCs w:val="28"/>
        </w:rPr>
        <w:t>Since people just below the poverty line aren’t that different than people just above it, the authors could determine that while the program gave poor people computers…</w:t>
      </w:r>
    </w:p>
    <w:p w:rsidR="005C2B52" w:rsidRDefault="005C2B52" w:rsidP="005C2B52">
      <w:pPr>
        <w:jc w:val="center"/>
        <w:rPr>
          <w:sz w:val="28"/>
          <w:szCs w:val="28"/>
        </w:rPr>
      </w:pPr>
      <w:r>
        <w:rPr>
          <w:noProof/>
        </w:rPr>
        <w:drawing>
          <wp:inline distT="0" distB="0" distL="0" distR="0">
            <wp:extent cx="4110990" cy="1967865"/>
            <wp:effectExtent l="19050" t="0" r="3810" b="0"/>
            <wp:docPr id="3" name="Picture 2"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uter"/>
                    <pic:cNvPicPr>
                      <a:picLocks noChangeAspect="1" noChangeArrowheads="1"/>
                    </pic:cNvPicPr>
                  </pic:nvPicPr>
                  <pic:blipFill>
                    <a:blip r:embed="rId9"/>
                    <a:srcRect t="3058" b="6114"/>
                    <a:stretch>
                      <a:fillRect/>
                    </a:stretch>
                  </pic:blipFill>
                  <pic:spPr bwMode="auto">
                    <a:xfrm>
                      <a:off x="0" y="0"/>
                      <a:ext cx="4110990" cy="1967865"/>
                    </a:xfrm>
                    <a:prstGeom prst="rect">
                      <a:avLst/>
                    </a:prstGeom>
                    <a:noFill/>
                    <a:ln w="9525">
                      <a:noFill/>
                      <a:miter lim="800000"/>
                      <a:headEnd/>
                      <a:tailEnd/>
                    </a:ln>
                  </pic:spPr>
                </pic:pic>
              </a:graphicData>
            </a:graphic>
          </wp:inline>
        </w:drawing>
      </w:r>
    </w:p>
    <w:p w:rsidR="005C2B52" w:rsidRDefault="005C2B52" w:rsidP="005C2B52">
      <w:pPr>
        <w:ind w:left="2160"/>
        <w:jc w:val="both"/>
        <w:rPr>
          <w:sz w:val="28"/>
          <w:szCs w:val="28"/>
        </w:rPr>
      </w:pPr>
      <w:r>
        <w:rPr>
          <w:sz w:val="28"/>
          <w:szCs w:val="28"/>
        </w:rPr>
        <w:t>Test scores fell…</w:t>
      </w:r>
    </w:p>
    <w:p w:rsidR="005C2B52" w:rsidRDefault="005C2B52" w:rsidP="005C2B52">
      <w:pPr>
        <w:jc w:val="center"/>
        <w:rPr>
          <w:sz w:val="28"/>
          <w:szCs w:val="28"/>
        </w:rPr>
      </w:pPr>
      <w:r>
        <w:rPr>
          <w:noProof/>
          <w:sz w:val="28"/>
          <w:szCs w:val="28"/>
        </w:rPr>
        <w:drawing>
          <wp:inline distT="0" distB="0" distL="0" distR="0">
            <wp:extent cx="1880235" cy="1851025"/>
            <wp:effectExtent l="19050" t="0" r="57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14250" t="9375" r="53999" b="51563"/>
                    <a:stretch>
                      <a:fillRect/>
                    </a:stretch>
                  </pic:blipFill>
                  <pic:spPr bwMode="auto">
                    <a:xfrm>
                      <a:off x="0" y="0"/>
                      <a:ext cx="1880235" cy="1851025"/>
                    </a:xfrm>
                    <a:prstGeom prst="rect">
                      <a:avLst/>
                    </a:prstGeom>
                    <a:noFill/>
                    <a:ln w="9525">
                      <a:noFill/>
                      <a:miter lim="800000"/>
                      <a:headEnd/>
                      <a:tailEnd/>
                    </a:ln>
                  </pic:spPr>
                </pic:pic>
              </a:graphicData>
            </a:graphic>
          </wp:inline>
        </w:drawing>
      </w:r>
      <w:r w:rsidRPr="00EB61AE">
        <w:rPr>
          <w:sz w:val="28"/>
          <w:szCs w:val="28"/>
        </w:rPr>
        <w:t xml:space="preserve"> </w:t>
      </w:r>
      <w:r>
        <w:rPr>
          <w:noProof/>
          <w:sz w:val="28"/>
          <w:szCs w:val="28"/>
        </w:rPr>
        <w:drawing>
          <wp:inline distT="0" distB="0" distL="0" distR="0">
            <wp:extent cx="1887220" cy="193103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14250" t="48750" r="53999" b="10312"/>
                    <a:stretch>
                      <a:fillRect/>
                    </a:stretch>
                  </pic:blipFill>
                  <pic:spPr bwMode="auto">
                    <a:xfrm>
                      <a:off x="0" y="0"/>
                      <a:ext cx="1887220" cy="1931035"/>
                    </a:xfrm>
                    <a:prstGeom prst="rect">
                      <a:avLst/>
                    </a:prstGeom>
                    <a:noFill/>
                    <a:ln w="9525">
                      <a:noFill/>
                      <a:miter lim="800000"/>
                      <a:headEnd/>
                      <a:tailEnd/>
                    </a:ln>
                  </pic:spPr>
                </pic:pic>
              </a:graphicData>
            </a:graphic>
          </wp:inline>
        </w:drawing>
      </w:r>
      <w:r>
        <w:rPr>
          <w:noProof/>
          <w:sz w:val="28"/>
          <w:szCs w:val="28"/>
        </w:rPr>
        <w:drawing>
          <wp:inline distT="0" distB="0" distL="0" distR="0">
            <wp:extent cx="1887220" cy="189484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l="14250" t="28125" r="53999" b="31876"/>
                    <a:stretch>
                      <a:fillRect/>
                    </a:stretch>
                  </pic:blipFill>
                  <pic:spPr bwMode="auto">
                    <a:xfrm>
                      <a:off x="0" y="0"/>
                      <a:ext cx="1887220" cy="1894840"/>
                    </a:xfrm>
                    <a:prstGeom prst="rect">
                      <a:avLst/>
                    </a:prstGeom>
                    <a:noFill/>
                    <a:ln w="9525">
                      <a:noFill/>
                      <a:miter lim="800000"/>
                      <a:headEnd/>
                      <a:tailEnd/>
                    </a:ln>
                  </pic:spPr>
                </pic:pic>
              </a:graphicData>
            </a:graphic>
          </wp:inline>
        </w:drawing>
      </w:r>
    </w:p>
    <w:p w:rsidR="005C2B52" w:rsidRDefault="005C2B52" w:rsidP="005C2B52">
      <w:pPr>
        <w:ind w:left="2160"/>
        <w:jc w:val="both"/>
        <w:rPr>
          <w:sz w:val="28"/>
          <w:szCs w:val="28"/>
        </w:rPr>
      </w:pPr>
      <w:r>
        <w:rPr>
          <w:sz w:val="28"/>
          <w:szCs w:val="28"/>
        </w:rPr>
        <w:t>Because everyone just played computer games.</w:t>
      </w:r>
    </w:p>
    <w:p w:rsidR="005C2B52" w:rsidRDefault="005C2B52" w:rsidP="005C2B52">
      <w:pPr>
        <w:jc w:val="center"/>
        <w:rPr>
          <w:sz w:val="28"/>
          <w:szCs w:val="28"/>
        </w:rPr>
      </w:pPr>
      <w:r>
        <w:rPr>
          <w:noProof/>
        </w:rPr>
        <w:drawing>
          <wp:inline distT="0" distB="0" distL="0" distR="0">
            <wp:extent cx="4089400" cy="1953260"/>
            <wp:effectExtent l="19050" t="0" r="6350" b="0"/>
            <wp:docPr id="7" name="Picture 6"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me"/>
                    <pic:cNvPicPr>
                      <a:picLocks noChangeAspect="1" noChangeArrowheads="1"/>
                    </pic:cNvPicPr>
                  </pic:nvPicPr>
                  <pic:blipFill>
                    <a:blip r:embed="rId12"/>
                    <a:srcRect b="6316"/>
                    <a:stretch>
                      <a:fillRect/>
                    </a:stretch>
                  </pic:blipFill>
                  <pic:spPr bwMode="auto">
                    <a:xfrm>
                      <a:off x="0" y="0"/>
                      <a:ext cx="4089400" cy="1953260"/>
                    </a:xfrm>
                    <a:prstGeom prst="rect">
                      <a:avLst/>
                    </a:prstGeom>
                    <a:noFill/>
                    <a:ln w="9525">
                      <a:noFill/>
                      <a:miter lim="800000"/>
                      <a:headEnd/>
                      <a:tailEnd/>
                    </a:ln>
                  </pic:spPr>
                </pic:pic>
              </a:graphicData>
            </a:graphic>
          </wp:inline>
        </w:drawing>
      </w:r>
    </w:p>
    <w:p w:rsidR="005C2B52" w:rsidRDefault="005C2B52" w:rsidP="005C2B52">
      <w:pPr>
        <w:ind w:left="2160"/>
        <w:jc w:val="both"/>
        <w:rPr>
          <w:sz w:val="28"/>
          <w:szCs w:val="28"/>
        </w:rPr>
      </w:pPr>
      <w:r>
        <w:rPr>
          <w:sz w:val="28"/>
          <w:szCs w:val="28"/>
        </w:rPr>
        <w:t>Oops.</w:t>
      </w:r>
    </w:p>
    <w:p w:rsidR="005C2B52" w:rsidRDefault="005C2B52" w:rsidP="005C2B52">
      <w:pPr>
        <w:numPr>
          <w:ilvl w:val="0"/>
          <w:numId w:val="2"/>
        </w:numPr>
        <w:jc w:val="both"/>
        <w:rPr>
          <w:sz w:val="28"/>
          <w:szCs w:val="28"/>
        </w:rPr>
      </w:pPr>
      <w:r>
        <w:rPr>
          <w:sz w:val="28"/>
          <w:szCs w:val="28"/>
        </w:rPr>
        <w:lastRenderedPageBreak/>
        <w:t>Diff-in-diff</w:t>
      </w:r>
    </w:p>
    <w:p w:rsidR="005C2B52" w:rsidRDefault="005C2B52" w:rsidP="005C2B52">
      <w:pPr>
        <w:numPr>
          <w:ilvl w:val="1"/>
          <w:numId w:val="2"/>
        </w:numPr>
        <w:jc w:val="both"/>
        <w:rPr>
          <w:sz w:val="28"/>
          <w:szCs w:val="28"/>
        </w:rPr>
      </w:pPr>
      <w:r>
        <w:rPr>
          <w:sz w:val="28"/>
          <w:szCs w:val="28"/>
        </w:rPr>
        <w:t>Sometimes there’s a policy change or some other sudden event and you want to know if it did what it was suppose to do and how effective it was. For example, the college builds a new learning facility and wonders how that impacted student GPA.</w:t>
      </w:r>
    </w:p>
    <w:p w:rsidR="005C2B52" w:rsidRDefault="005C2B52" w:rsidP="005C2B52">
      <w:pPr>
        <w:numPr>
          <w:ilvl w:val="1"/>
          <w:numId w:val="2"/>
        </w:numPr>
        <w:jc w:val="both"/>
        <w:rPr>
          <w:sz w:val="28"/>
          <w:szCs w:val="28"/>
        </w:rPr>
      </w:pPr>
      <w:r>
        <w:rPr>
          <w:sz w:val="28"/>
          <w:szCs w:val="28"/>
        </w:rPr>
        <w:t>It’s tempting to use discontinuity (check right before when the policy took effect and right after) but this gets tricky since other things could be happening in the meantime. GPA might have changed between the year before and the year after construction for many reasons.</w:t>
      </w:r>
    </w:p>
    <w:p w:rsidR="005C2B52" w:rsidRDefault="005C2B52" w:rsidP="005C2B52">
      <w:pPr>
        <w:numPr>
          <w:ilvl w:val="1"/>
          <w:numId w:val="2"/>
        </w:numPr>
        <w:jc w:val="both"/>
        <w:rPr>
          <w:sz w:val="28"/>
          <w:szCs w:val="28"/>
        </w:rPr>
      </w:pPr>
      <w:r>
        <w:rPr>
          <w:sz w:val="28"/>
          <w:szCs w:val="28"/>
        </w:rPr>
        <w:t>You might then note that the policy change only affecting one area, such as a state or in this case a college. By comparing the college with the policy change and a similar college without it, you can measure the effect. But even similar colleges could have different average GPAs for many different reasons.</w:t>
      </w:r>
    </w:p>
    <w:p w:rsidR="005C2B52" w:rsidRDefault="005C2B52" w:rsidP="005C2B52">
      <w:pPr>
        <w:numPr>
          <w:ilvl w:val="1"/>
          <w:numId w:val="2"/>
        </w:numPr>
        <w:jc w:val="both"/>
        <w:rPr>
          <w:sz w:val="28"/>
          <w:szCs w:val="28"/>
        </w:rPr>
      </w:pPr>
      <w:r>
        <w:rPr>
          <w:sz w:val="28"/>
          <w:szCs w:val="28"/>
        </w:rPr>
        <w:t>Difference-in-difference (diff-in-diff) combats this problem by doing both.</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8"/>
        <w:gridCol w:w="1305"/>
        <w:gridCol w:w="1305"/>
        <w:gridCol w:w="1305"/>
        <w:gridCol w:w="1305"/>
      </w:tblGrid>
      <w:tr w:rsidR="005C2B52" w:rsidRPr="00D968E2" w:rsidTr="008C1483">
        <w:tc>
          <w:tcPr>
            <w:tcW w:w="2538" w:type="dxa"/>
          </w:tcPr>
          <w:p w:rsidR="005C2B52" w:rsidRPr="00D968E2" w:rsidRDefault="005C2B52" w:rsidP="008C1483">
            <w:pPr>
              <w:jc w:val="both"/>
              <w:rPr>
                <w:sz w:val="28"/>
                <w:szCs w:val="28"/>
              </w:rPr>
            </w:pPr>
          </w:p>
        </w:tc>
        <w:tc>
          <w:tcPr>
            <w:tcW w:w="2610" w:type="dxa"/>
            <w:gridSpan w:val="2"/>
          </w:tcPr>
          <w:p w:rsidR="005C2B52" w:rsidRPr="00D968E2" w:rsidRDefault="005C2B52" w:rsidP="008C1483">
            <w:pPr>
              <w:jc w:val="center"/>
              <w:rPr>
                <w:b/>
                <w:sz w:val="28"/>
                <w:szCs w:val="28"/>
              </w:rPr>
            </w:pPr>
            <w:r w:rsidRPr="00D968E2">
              <w:rPr>
                <w:b/>
                <w:sz w:val="28"/>
                <w:szCs w:val="28"/>
              </w:rPr>
              <w:t>Augustana College</w:t>
            </w:r>
          </w:p>
        </w:tc>
        <w:tc>
          <w:tcPr>
            <w:tcW w:w="2610" w:type="dxa"/>
            <w:gridSpan w:val="2"/>
          </w:tcPr>
          <w:p w:rsidR="005C2B52" w:rsidRPr="00D968E2" w:rsidRDefault="005C2B52" w:rsidP="008C1483">
            <w:pPr>
              <w:jc w:val="center"/>
              <w:rPr>
                <w:b/>
                <w:sz w:val="28"/>
                <w:szCs w:val="28"/>
              </w:rPr>
            </w:pPr>
            <w:r w:rsidRPr="00D968E2">
              <w:rPr>
                <w:b/>
                <w:sz w:val="28"/>
                <w:szCs w:val="28"/>
              </w:rPr>
              <w:t>Bethany College</w:t>
            </w:r>
          </w:p>
        </w:tc>
      </w:tr>
      <w:tr w:rsidR="005C2B52" w:rsidRPr="00D968E2" w:rsidTr="008C1483">
        <w:tc>
          <w:tcPr>
            <w:tcW w:w="2538" w:type="dxa"/>
          </w:tcPr>
          <w:p w:rsidR="005C2B52" w:rsidRPr="00D968E2" w:rsidRDefault="005C2B52" w:rsidP="008C1483">
            <w:pPr>
              <w:jc w:val="both"/>
              <w:rPr>
                <w:sz w:val="28"/>
                <w:szCs w:val="28"/>
              </w:rPr>
            </w:pPr>
          </w:p>
        </w:tc>
        <w:tc>
          <w:tcPr>
            <w:tcW w:w="1305" w:type="dxa"/>
          </w:tcPr>
          <w:p w:rsidR="005C2B52" w:rsidRPr="00D968E2" w:rsidRDefault="005C2B52" w:rsidP="008C1483">
            <w:pPr>
              <w:jc w:val="center"/>
              <w:rPr>
                <w:i/>
                <w:sz w:val="28"/>
                <w:szCs w:val="28"/>
              </w:rPr>
            </w:pPr>
            <w:r w:rsidRPr="00D968E2">
              <w:rPr>
                <w:i/>
                <w:sz w:val="28"/>
                <w:szCs w:val="28"/>
              </w:rPr>
              <w:t>Before</w:t>
            </w:r>
          </w:p>
        </w:tc>
        <w:tc>
          <w:tcPr>
            <w:tcW w:w="1305" w:type="dxa"/>
          </w:tcPr>
          <w:p w:rsidR="005C2B52" w:rsidRPr="00D968E2" w:rsidRDefault="005C2B52" w:rsidP="008C1483">
            <w:pPr>
              <w:jc w:val="center"/>
              <w:rPr>
                <w:i/>
                <w:sz w:val="28"/>
                <w:szCs w:val="28"/>
              </w:rPr>
            </w:pPr>
            <w:r w:rsidRPr="00D968E2">
              <w:rPr>
                <w:i/>
                <w:sz w:val="28"/>
                <w:szCs w:val="28"/>
              </w:rPr>
              <w:t>After</w:t>
            </w:r>
          </w:p>
        </w:tc>
        <w:tc>
          <w:tcPr>
            <w:tcW w:w="1305" w:type="dxa"/>
          </w:tcPr>
          <w:p w:rsidR="005C2B52" w:rsidRPr="00D968E2" w:rsidRDefault="009C26E4" w:rsidP="008C1483">
            <w:pPr>
              <w:jc w:val="center"/>
              <w:rPr>
                <w:i/>
                <w:sz w:val="28"/>
                <w:szCs w:val="28"/>
              </w:rPr>
            </w:pPr>
            <w:r w:rsidRPr="00D968E2">
              <w:rPr>
                <w:i/>
                <w:sz w:val="28"/>
                <w:szCs w:val="28"/>
              </w:rPr>
              <w:t>Before</w:t>
            </w:r>
          </w:p>
        </w:tc>
        <w:tc>
          <w:tcPr>
            <w:tcW w:w="1305" w:type="dxa"/>
          </w:tcPr>
          <w:p w:rsidR="005C2B52" w:rsidRPr="00D968E2" w:rsidRDefault="009C26E4" w:rsidP="008C1483">
            <w:pPr>
              <w:jc w:val="center"/>
              <w:rPr>
                <w:i/>
                <w:sz w:val="28"/>
                <w:szCs w:val="28"/>
              </w:rPr>
            </w:pPr>
            <w:r w:rsidRPr="00D968E2">
              <w:rPr>
                <w:i/>
                <w:sz w:val="28"/>
                <w:szCs w:val="28"/>
              </w:rPr>
              <w:t>After</w:t>
            </w:r>
          </w:p>
        </w:tc>
      </w:tr>
      <w:tr w:rsidR="005C2B52" w:rsidRPr="00D968E2" w:rsidTr="008C1483">
        <w:tc>
          <w:tcPr>
            <w:tcW w:w="2538" w:type="dxa"/>
          </w:tcPr>
          <w:p w:rsidR="005C2B52" w:rsidRPr="00D968E2" w:rsidRDefault="005C2B52" w:rsidP="008C1483">
            <w:pPr>
              <w:jc w:val="both"/>
              <w:rPr>
                <w:sz w:val="28"/>
                <w:szCs w:val="28"/>
              </w:rPr>
            </w:pPr>
          </w:p>
        </w:tc>
        <w:tc>
          <w:tcPr>
            <w:tcW w:w="1305" w:type="dxa"/>
          </w:tcPr>
          <w:p w:rsidR="005C2B52" w:rsidRPr="00D968E2" w:rsidRDefault="005C2B52" w:rsidP="008C1483">
            <w:pPr>
              <w:jc w:val="center"/>
              <w:rPr>
                <w:sz w:val="28"/>
                <w:szCs w:val="28"/>
              </w:rPr>
            </w:pPr>
            <w:r w:rsidRPr="00D968E2">
              <w:rPr>
                <w:sz w:val="28"/>
                <w:szCs w:val="28"/>
              </w:rPr>
              <w:t>2.7</w:t>
            </w:r>
          </w:p>
        </w:tc>
        <w:tc>
          <w:tcPr>
            <w:tcW w:w="1305" w:type="dxa"/>
          </w:tcPr>
          <w:p w:rsidR="005C2B52" w:rsidRPr="00D968E2" w:rsidRDefault="005C2B52" w:rsidP="008C1483">
            <w:pPr>
              <w:jc w:val="center"/>
              <w:rPr>
                <w:sz w:val="28"/>
                <w:szCs w:val="28"/>
              </w:rPr>
            </w:pPr>
            <w:r w:rsidRPr="00D968E2">
              <w:rPr>
                <w:sz w:val="28"/>
                <w:szCs w:val="28"/>
              </w:rPr>
              <w:t>2.8</w:t>
            </w:r>
          </w:p>
        </w:tc>
        <w:tc>
          <w:tcPr>
            <w:tcW w:w="1305" w:type="dxa"/>
          </w:tcPr>
          <w:p w:rsidR="005C2B52" w:rsidRPr="00D968E2" w:rsidRDefault="005C2B52" w:rsidP="008C1483">
            <w:pPr>
              <w:jc w:val="center"/>
              <w:rPr>
                <w:sz w:val="28"/>
                <w:szCs w:val="28"/>
              </w:rPr>
            </w:pPr>
            <w:r w:rsidRPr="00D968E2">
              <w:rPr>
                <w:sz w:val="28"/>
                <w:szCs w:val="28"/>
              </w:rPr>
              <w:t>2.9</w:t>
            </w:r>
          </w:p>
        </w:tc>
        <w:tc>
          <w:tcPr>
            <w:tcW w:w="1305" w:type="dxa"/>
          </w:tcPr>
          <w:p w:rsidR="005C2B52" w:rsidRPr="00D968E2" w:rsidRDefault="005C2B52" w:rsidP="008C1483">
            <w:pPr>
              <w:jc w:val="center"/>
              <w:rPr>
                <w:sz w:val="28"/>
                <w:szCs w:val="28"/>
              </w:rPr>
            </w:pPr>
            <w:r w:rsidRPr="00D968E2">
              <w:rPr>
                <w:sz w:val="28"/>
                <w:szCs w:val="28"/>
              </w:rPr>
              <w:t>3.2</w:t>
            </w:r>
          </w:p>
        </w:tc>
      </w:tr>
      <w:tr w:rsidR="005C2B52" w:rsidRPr="00D968E2" w:rsidTr="008C1483">
        <w:tc>
          <w:tcPr>
            <w:tcW w:w="2538" w:type="dxa"/>
          </w:tcPr>
          <w:p w:rsidR="005C2B52" w:rsidRPr="00D968E2" w:rsidRDefault="005C2B52" w:rsidP="008C1483">
            <w:pPr>
              <w:jc w:val="both"/>
              <w:rPr>
                <w:b/>
                <w:sz w:val="28"/>
                <w:szCs w:val="28"/>
              </w:rPr>
            </w:pPr>
            <w:r w:rsidRPr="00D968E2">
              <w:rPr>
                <w:b/>
                <w:sz w:val="28"/>
                <w:szCs w:val="28"/>
              </w:rPr>
              <w:t>Difference in Time</w:t>
            </w:r>
          </w:p>
        </w:tc>
        <w:tc>
          <w:tcPr>
            <w:tcW w:w="2610" w:type="dxa"/>
            <w:gridSpan w:val="2"/>
          </w:tcPr>
          <w:p w:rsidR="005C2B52" w:rsidRPr="00D968E2" w:rsidRDefault="005C2B52" w:rsidP="008C1483">
            <w:pPr>
              <w:jc w:val="center"/>
              <w:rPr>
                <w:sz w:val="28"/>
                <w:szCs w:val="28"/>
              </w:rPr>
            </w:pPr>
            <w:r w:rsidRPr="00D968E2">
              <w:rPr>
                <w:sz w:val="28"/>
                <w:szCs w:val="28"/>
              </w:rPr>
              <w:t>+0.1</w:t>
            </w:r>
          </w:p>
        </w:tc>
        <w:tc>
          <w:tcPr>
            <w:tcW w:w="2610" w:type="dxa"/>
            <w:gridSpan w:val="2"/>
          </w:tcPr>
          <w:p w:rsidR="005C2B52" w:rsidRPr="00D968E2" w:rsidRDefault="005C2B52" w:rsidP="008C1483">
            <w:pPr>
              <w:jc w:val="center"/>
              <w:rPr>
                <w:sz w:val="28"/>
                <w:szCs w:val="28"/>
              </w:rPr>
            </w:pPr>
            <w:r w:rsidRPr="00D968E2">
              <w:rPr>
                <w:sz w:val="28"/>
                <w:szCs w:val="28"/>
              </w:rPr>
              <w:t>+0.3</w:t>
            </w:r>
          </w:p>
        </w:tc>
      </w:tr>
      <w:tr w:rsidR="005C2B52" w:rsidRPr="00D968E2" w:rsidTr="008C1483">
        <w:tc>
          <w:tcPr>
            <w:tcW w:w="2538" w:type="dxa"/>
          </w:tcPr>
          <w:p w:rsidR="005C2B52" w:rsidRPr="00D968E2" w:rsidRDefault="005C2B52" w:rsidP="008C1483">
            <w:pPr>
              <w:jc w:val="both"/>
              <w:rPr>
                <w:b/>
                <w:sz w:val="28"/>
                <w:szCs w:val="28"/>
              </w:rPr>
            </w:pPr>
            <w:r w:rsidRPr="00D968E2">
              <w:rPr>
                <w:b/>
                <w:sz w:val="28"/>
                <w:szCs w:val="28"/>
              </w:rPr>
              <w:t>Diff-in-Diff</w:t>
            </w:r>
          </w:p>
        </w:tc>
        <w:tc>
          <w:tcPr>
            <w:tcW w:w="5220" w:type="dxa"/>
            <w:gridSpan w:val="4"/>
          </w:tcPr>
          <w:p w:rsidR="005C2B52" w:rsidRPr="00D968E2" w:rsidRDefault="005C2B52" w:rsidP="008C1483">
            <w:pPr>
              <w:jc w:val="center"/>
              <w:rPr>
                <w:sz w:val="28"/>
                <w:szCs w:val="28"/>
              </w:rPr>
            </w:pPr>
            <w:r w:rsidRPr="00D968E2">
              <w:rPr>
                <w:sz w:val="28"/>
                <w:szCs w:val="28"/>
              </w:rPr>
              <w:t>+0.2</w:t>
            </w:r>
          </w:p>
        </w:tc>
      </w:tr>
    </w:tbl>
    <w:p w:rsidR="005C2B52" w:rsidRDefault="005C2B52" w:rsidP="005C2B52">
      <w:pPr>
        <w:numPr>
          <w:ilvl w:val="2"/>
          <w:numId w:val="2"/>
        </w:numPr>
        <w:jc w:val="both"/>
        <w:rPr>
          <w:sz w:val="28"/>
          <w:szCs w:val="28"/>
        </w:rPr>
      </w:pPr>
      <w:r>
        <w:rPr>
          <w:sz w:val="28"/>
          <w:szCs w:val="28"/>
        </w:rPr>
        <w:t>In this hypothetical, we can see that GPAs are on the rise, by compared differences across time, we can hold these trends constant.</w:t>
      </w:r>
    </w:p>
    <w:p w:rsidR="005C2B52" w:rsidRDefault="005C2B52" w:rsidP="005C2B52">
      <w:pPr>
        <w:numPr>
          <w:ilvl w:val="1"/>
          <w:numId w:val="2"/>
        </w:numPr>
        <w:jc w:val="both"/>
        <w:rPr>
          <w:sz w:val="28"/>
          <w:szCs w:val="28"/>
        </w:rPr>
      </w:pPr>
      <w:r>
        <w:rPr>
          <w:sz w:val="28"/>
          <w:szCs w:val="28"/>
        </w:rPr>
        <w:t>Another diff-in-diff example</w:t>
      </w:r>
    </w:p>
    <w:p w:rsidR="005C2B52" w:rsidRPr="00AC6371" w:rsidRDefault="000D3064" w:rsidP="005C2B52">
      <w:pPr>
        <w:numPr>
          <w:ilvl w:val="2"/>
          <w:numId w:val="2"/>
        </w:numPr>
        <w:jc w:val="both"/>
        <w:rPr>
          <w:sz w:val="28"/>
          <w:szCs w:val="28"/>
        </w:rPr>
      </w:pPr>
      <w:hyperlink r:id="rId13" w:history="1">
        <w:r w:rsidR="005C2B52">
          <w:rPr>
            <w:rStyle w:val="Hyperlink"/>
          </w:rPr>
          <w:t>http://www.theigc.org/article/cycling-school-increasing-high-school-enrollment-girls-bihar</w:t>
        </w:r>
      </w:hyperlink>
    </w:p>
    <w:p w:rsidR="0050429A" w:rsidRDefault="00971B87" w:rsidP="00971B87">
      <w:pPr>
        <w:numPr>
          <w:ilvl w:val="0"/>
          <w:numId w:val="2"/>
        </w:numPr>
        <w:jc w:val="both"/>
        <w:rPr>
          <w:sz w:val="28"/>
          <w:szCs w:val="28"/>
        </w:rPr>
      </w:pPr>
      <w:r>
        <w:rPr>
          <w:sz w:val="28"/>
          <w:szCs w:val="28"/>
        </w:rPr>
        <w:t>Indexing numbers</w:t>
      </w:r>
    </w:p>
    <w:p w:rsidR="00971B87" w:rsidRDefault="00655579" w:rsidP="00971B87">
      <w:pPr>
        <w:numPr>
          <w:ilvl w:val="1"/>
          <w:numId w:val="2"/>
        </w:numPr>
        <w:jc w:val="both"/>
        <w:rPr>
          <w:sz w:val="28"/>
          <w:szCs w:val="28"/>
        </w:rPr>
      </w:pPr>
      <w:r>
        <w:rPr>
          <w:sz w:val="28"/>
          <w:szCs w:val="28"/>
        </w:rPr>
        <w:t>Suppose it’s 1980 and you’re interested in investing in real estate. If you examine nominal real estate prices, you’d find the average price doubled in the past ten years. You might get excited about your investment, but you’d be wrong. Why?</w:t>
      </w:r>
    </w:p>
    <w:p w:rsidR="00655579" w:rsidRDefault="00655579" w:rsidP="00655579">
      <w:pPr>
        <w:numPr>
          <w:ilvl w:val="2"/>
          <w:numId w:val="2"/>
        </w:numPr>
        <w:jc w:val="both"/>
        <w:rPr>
          <w:sz w:val="28"/>
          <w:szCs w:val="28"/>
        </w:rPr>
      </w:pPr>
      <w:r>
        <w:rPr>
          <w:sz w:val="28"/>
          <w:szCs w:val="28"/>
        </w:rPr>
        <w:t>Inflation! Adjusted for inflation, home prices between 1970-1979 were steady. In 1980, they were declining.</w:t>
      </w:r>
    </w:p>
    <w:p w:rsidR="004B6DCC" w:rsidRPr="004B6DCC" w:rsidRDefault="004B6DCC" w:rsidP="004B6DCC">
      <w:pPr>
        <w:numPr>
          <w:ilvl w:val="1"/>
          <w:numId w:val="2"/>
        </w:numPr>
        <w:jc w:val="both"/>
        <w:rPr>
          <w:sz w:val="28"/>
          <w:szCs w:val="28"/>
        </w:rPr>
      </w:pPr>
      <w:r>
        <w:rPr>
          <w:sz w:val="28"/>
          <w:szCs w:val="28"/>
        </w:rPr>
        <w:t>It’s hard to compare time periods not just because of inflation but also other macroeconomic trends. Some numbers are also tricky to compare due to their large size. So we use an index number.</w:t>
      </w:r>
    </w:p>
    <w:p w:rsidR="00971B87" w:rsidRDefault="00971B87" w:rsidP="004B6DCC">
      <w:pPr>
        <w:numPr>
          <w:ilvl w:val="2"/>
          <w:numId w:val="2"/>
        </w:numPr>
        <w:jc w:val="both"/>
        <w:rPr>
          <w:sz w:val="28"/>
          <w:szCs w:val="28"/>
        </w:rPr>
      </w:pPr>
      <w:r>
        <w:rPr>
          <w:sz w:val="28"/>
          <w:szCs w:val="28"/>
        </w:rPr>
        <w:t xml:space="preserve">An </w:t>
      </w:r>
      <w:r>
        <w:rPr>
          <w:i/>
          <w:sz w:val="28"/>
          <w:szCs w:val="28"/>
        </w:rPr>
        <w:t>index number</w:t>
      </w:r>
      <w:r>
        <w:rPr>
          <w:sz w:val="28"/>
          <w:szCs w:val="28"/>
        </w:rPr>
        <w:t xml:space="preserve"> expresses the relative change in price, quantity, or value compared to a base period. </w:t>
      </w:r>
    </w:p>
    <w:p w:rsidR="004B6DCC" w:rsidRDefault="004B6DCC" w:rsidP="004B6DCC">
      <w:pPr>
        <w:numPr>
          <w:ilvl w:val="2"/>
          <w:numId w:val="2"/>
        </w:numPr>
        <w:jc w:val="both"/>
        <w:rPr>
          <w:sz w:val="28"/>
          <w:szCs w:val="28"/>
        </w:rPr>
      </w:pPr>
      <w:r>
        <w:rPr>
          <w:sz w:val="28"/>
          <w:szCs w:val="28"/>
        </w:rPr>
        <w:lastRenderedPageBreak/>
        <w:t>Note that all inflation-adjusted values are index to a particular year, as in “in 2000 dollars.”</w:t>
      </w:r>
    </w:p>
    <w:p w:rsidR="004B6DCC" w:rsidRDefault="004B6DCC" w:rsidP="004B6DCC">
      <w:pPr>
        <w:numPr>
          <w:ilvl w:val="1"/>
          <w:numId w:val="2"/>
        </w:numPr>
        <w:jc w:val="both"/>
        <w:rPr>
          <w:sz w:val="28"/>
          <w:szCs w:val="28"/>
        </w:rPr>
      </w:pPr>
      <w:r>
        <w:rPr>
          <w:sz w:val="28"/>
          <w:szCs w:val="28"/>
        </w:rPr>
        <w:t>Indexing takes the base period and converts it to 100 by dividing by the value by the based period and multiplying by 100. Other values are also divided by the b</w:t>
      </w:r>
      <w:r w:rsidR="00912DBF">
        <w:rPr>
          <w:sz w:val="28"/>
          <w:szCs w:val="28"/>
        </w:rPr>
        <w:t>ased period and multiplied by 100.</w:t>
      </w:r>
    </w:p>
    <w:p w:rsidR="00912DBF" w:rsidRDefault="00912DBF" w:rsidP="00912DBF">
      <w:pPr>
        <w:numPr>
          <w:ilvl w:val="2"/>
          <w:numId w:val="2"/>
        </w:numPr>
        <w:jc w:val="both"/>
        <w:rPr>
          <w:sz w:val="28"/>
          <w:szCs w:val="28"/>
        </w:rPr>
      </w:pPr>
      <w:r>
        <w:rPr>
          <w:sz w:val="28"/>
          <w:szCs w:val="28"/>
        </w:rPr>
        <w:t>Sometimes it’s multiplied by 10 or 1,000, or 1. As long as the other periods have the same treatment as the based period.</w:t>
      </w:r>
    </w:p>
    <w:p w:rsidR="00912DBF" w:rsidRDefault="009C6287" w:rsidP="00912DBF">
      <w:pPr>
        <w:numPr>
          <w:ilvl w:val="1"/>
          <w:numId w:val="2"/>
        </w:numPr>
        <w:jc w:val="both"/>
        <w:rPr>
          <w:sz w:val="28"/>
          <w:szCs w:val="28"/>
        </w:rPr>
      </w:pPr>
      <w:r>
        <w:rPr>
          <w:sz w:val="28"/>
          <w:szCs w:val="28"/>
        </w:rPr>
        <w:t>You can also compare patterns of different time periods with indexing. Here’s a graph of how consumption progressed in different recessions, with consumption at the start of each recession indexed to 1.</w:t>
      </w:r>
      <w:r>
        <w:rPr>
          <w:rStyle w:val="FootnoteReference"/>
          <w:sz w:val="28"/>
          <w:szCs w:val="28"/>
        </w:rPr>
        <w:footnoteReference w:id="1"/>
      </w:r>
    </w:p>
    <w:p w:rsidR="009C6287" w:rsidRPr="009C6287" w:rsidRDefault="00445702" w:rsidP="009C6287">
      <w:pPr>
        <w:ind w:left="1440"/>
        <w:jc w:val="both"/>
        <w:rPr>
          <w:sz w:val="28"/>
          <w:szCs w:val="28"/>
        </w:rPr>
      </w:pPr>
      <w:r>
        <w:rPr>
          <w:noProof/>
        </w:rPr>
        <w:drawing>
          <wp:inline distT="0" distB="0" distL="0" distR="0">
            <wp:extent cx="4286885" cy="3035935"/>
            <wp:effectExtent l="19050" t="0" r="0" b="0"/>
            <wp:docPr id="1" name="Picture 1" descr="6a00d83451b33869e20120a6edc1c4970b-45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a00d83451b33869e20120a6edc1c4970b-450wi"/>
                    <pic:cNvPicPr>
                      <a:picLocks noChangeAspect="1" noChangeArrowheads="1"/>
                    </pic:cNvPicPr>
                  </pic:nvPicPr>
                  <pic:blipFill>
                    <a:blip r:embed="rId14"/>
                    <a:srcRect/>
                    <a:stretch>
                      <a:fillRect/>
                    </a:stretch>
                  </pic:blipFill>
                  <pic:spPr bwMode="auto">
                    <a:xfrm>
                      <a:off x="0" y="0"/>
                      <a:ext cx="4286885" cy="3035935"/>
                    </a:xfrm>
                    <a:prstGeom prst="rect">
                      <a:avLst/>
                    </a:prstGeom>
                    <a:noFill/>
                    <a:ln w="9525">
                      <a:noFill/>
                      <a:miter lim="800000"/>
                      <a:headEnd/>
                      <a:tailEnd/>
                    </a:ln>
                  </pic:spPr>
                </pic:pic>
              </a:graphicData>
            </a:graphic>
          </wp:inline>
        </w:drawing>
      </w:r>
    </w:p>
    <w:p w:rsidR="009C6287" w:rsidRDefault="009C6287" w:rsidP="009C6287">
      <w:pPr>
        <w:numPr>
          <w:ilvl w:val="2"/>
          <w:numId w:val="2"/>
        </w:numPr>
        <w:jc w:val="both"/>
        <w:rPr>
          <w:sz w:val="28"/>
          <w:szCs w:val="28"/>
        </w:rPr>
      </w:pPr>
      <w:r>
        <w:rPr>
          <w:sz w:val="28"/>
          <w:szCs w:val="28"/>
        </w:rPr>
        <w:t xml:space="preserve">For the record, this graph is </w:t>
      </w:r>
      <w:r w:rsidR="002F324A">
        <w:rPr>
          <w:sz w:val="28"/>
          <w:szCs w:val="28"/>
        </w:rPr>
        <w:t>two</w:t>
      </w:r>
      <w:r>
        <w:rPr>
          <w:sz w:val="28"/>
          <w:szCs w:val="28"/>
        </w:rPr>
        <w:t>-and-a-half</w:t>
      </w:r>
      <w:r w:rsidR="002F324A">
        <w:rPr>
          <w:sz w:val="28"/>
          <w:szCs w:val="28"/>
        </w:rPr>
        <w:t xml:space="preserve"> years</w:t>
      </w:r>
      <w:r>
        <w:rPr>
          <w:sz w:val="28"/>
          <w:szCs w:val="28"/>
        </w:rPr>
        <w:t xml:space="preserve"> old. Things are looking better now.</w:t>
      </w:r>
    </w:p>
    <w:p w:rsidR="009C6287" w:rsidRDefault="009C6287" w:rsidP="009C6287">
      <w:pPr>
        <w:numPr>
          <w:ilvl w:val="1"/>
          <w:numId w:val="2"/>
        </w:numPr>
        <w:jc w:val="both"/>
        <w:rPr>
          <w:sz w:val="28"/>
          <w:szCs w:val="28"/>
        </w:rPr>
      </w:pPr>
      <w:r>
        <w:rPr>
          <w:sz w:val="28"/>
          <w:szCs w:val="28"/>
        </w:rPr>
        <w:t>Since indexes are based on an easy to read number, getting percent growths are easy to get. From 100 to 130 is 30% growth.</w:t>
      </w:r>
    </w:p>
    <w:p w:rsidR="00156CB0" w:rsidRDefault="00156CB0" w:rsidP="00156CB0">
      <w:pPr>
        <w:jc w:val="both"/>
        <w:rPr>
          <w:sz w:val="28"/>
          <w:szCs w:val="28"/>
        </w:rPr>
      </w:pPr>
    </w:p>
    <w:p w:rsidR="00156CB0" w:rsidRDefault="00156CB0" w:rsidP="00156CB0">
      <w:pPr>
        <w:jc w:val="both"/>
        <w:rPr>
          <w:b/>
          <w:smallCaps/>
          <w:sz w:val="28"/>
          <w:szCs w:val="28"/>
        </w:rPr>
      </w:pPr>
      <w:r w:rsidRPr="00816271">
        <w:rPr>
          <w:b/>
          <w:smallCaps/>
          <w:sz w:val="28"/>
          <w:szCs w:val="28"/>
        </w:rPr>
        <w:t>Lab Section</w:t>
      </w:r>
    </w:p>
    <w:p w:rsidR="00156CB0" w:rsidRPr="004B74D3" w:rsidRDefault="00156CB0" w:rsidP="00156CB0">
      <w:pPr>
        <w:jc w:val="both"/>
        <w:rPr>
          <w:sz w:val="28"/>
          <w:szCs w:val="28"/>
        </w:rPr>
      </w:pPr>
    </w:p>
    <w:p w:rsidR="00156CB0" w:rsidRDefault="00156CB0" w:rsidP="00156CB0">
      <w:pPr>
        <w:numPr>
          <w:ilvl w:val="0"/>
          <w:numId w:val="2"/>
        </w:numPr>
        <w:jc w:val="both"/>
        <w:rPr>
          <w:sz w:val="28"/>
          <w:szCs w:val="28"/>
        </w:rPr>
      </w:pPr>
      <w:r>
        <w:rPr>
          <w:sz w:val="28"/>
          <w:szCs w:val="28"/>
        </w:rPr>
        <w:t>Chapter 15</w:t>
      </w:r>
    </w:p>
    <w:p w:rsidR="00156CB0" w:rsidRDefault="00156CB0" w:rsidP="00156CB0">
      <w:pPr>
        <w:numPr>
          <w:ilvl w:val="0"/>
          <w:numId w:val="2"/>
        </w:numPr>
        <w:jc w:val="both"/>
        <w:rPr>
          <w:sz w:val="28"/>
          <w:szCs w:val="28"/>
        </w:rPr>
      </w:pPr>
      <w:r>
        <w:rPr>
          <w:sz w:val="28"/>
          <w:szCs w:val="28"/>
        </w:rPr>
        <w:t>Chapter 16</w:t>
      </w:r>
    </w:p>
    <w:p w:rsidR="00156CB0" w:rsidRDefault="00156CB0" w:rsidP="00156CB0">
      <w:pPr>
        <w:numPr>
          <w:ilvl w:val="0"/>
          <w:numId w:val="2"/>
        </w:numPr>
        <w:jc w:val="both"/>
        <w:rPr>
          <w:sz w:val="28"/>
          <w:szCs w:val="28"/>
        </w:rPr>
      </w:pPr>
      <w:r>
        <w:rPr>
          <w:sz w:val="28"/>
          <w:szCs w:val="28"/>
        </w:rPr>
        <w:t>Homework</w:t>
      </w:r>
    </w:p>
    <w:p w:rsidR="00156CB0" w:rsidRDefault="00156CB0" w:rsidP="00156CB0">
      <w:pPr>
        <w:numPr>
          <w:ilvl w:val="1"/>
          <w:numId w:val="2"/>
        </w:numPr>
        <w:jc w:val="both"/>
        <w:rPr>
          <w:sz w:val="28"/>
          <w:szCs w:val="28"/>
        </w:rPr>
      </w:pPr>
      <w:r>
        <w:rPr>
          <w:sz w:val="28"/>
          <w:szCs w:val="28"/>
        </w:rPr>
        <w:t>Chapter 15 1-2</w:t>
      </w:r>
    </w:p>
    <w:p w:rsidR="00156CB0" w:rsidRPr="00156CB0" w:rsidRDefault="00156CB0" w:rsidP="00156CB0">
      <w:pPr>
        <w:numPr>
          <w:ilvl w:val="1"/>
          <w:numId w:val="2"/>
        </w:numPr>
        <w:jc w:val="both"/>
        <w:rPr>
          <w:sz w:val="28"/>
          <w:szCs w:val="28"/>
        </w:rPr>
      </w:pPr>
      <w:r>
        <w:rPr>
          <w:sz w:val="28"/>
          <w:szCs w:val="28"/>
        </w:rPr>
        <w:t>Chapter 16 1-2</w:t>
      </w:r>
    </w:p>
    <w:sectPr w:rsidR="00156CB0" w:rsidRPr="00156CB0"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19" w:rsidRDefault="00E55519" w:rsidP="00717B1D">
      <w:r>
        <w:separator/>
      </w:r>
    </w:p>
  </w:endnote>
  <w:endnote w:type="continuationSeparator" w:id="0">
    <w:p w:rsidR="00E55519" w:rsidRDefault="00E55519" w:rsidP="0071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19" w:rsidRDefault="00E55519" w:rsidP="00717B1D">
      <w:r>
        <w:separator/>
      </w:r>
    </w:p>
  </w:footnote>
  <w:footnote w:type="continuationSeparator" w:id="0">
    <w:p w:rsidR="00E55519" w:rsidRDefault="00E55519" w:rsidP="00717B1D">
      <w:r>
        <w:continuationSeparator/>
      </w:r>
    </w:p>
  </w:footnote>
  <w:footnote w:id="1">
    <w:p w:rsidR="009C6287" w:rsidRDefault="009C6287">
      <w:pPr>
        <w:pStyle w:val="FootnoteText"/>
      </w:pPr>
      <w:r>
        <w:rPr>
          <w:rStyle w:val="FootnoteReference"/>
        </w:rPr>
        <w:footnoteRef/>
      </w:r>
      <w:r>
        <w:t xml:space="preserve"> </w:t>
      </w:r>
      <w:hyperlink r:id="rId1" w:history="1">
        <w:r>
          <w:rPr>
            <w:rStyle w:val="Hyperlink"/>
          </w:rPr>
          <w:t>http://economistsview.typepad.com/economistsview/2009/11/will-consumption-growth-return-to-its-prerecession-level.html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1C71"/>
    <w:multiLevelType w:val="hybridMultilevel"/>
    <w:tmpl w:val="98325708"/>
    <w:lvl w:ilvl="0" w:tplc="4FC4A18E">
      <w:start w:val="1"/>
      <w:numFmt w:val="upperRoman"/>
      <w:lvlText w:val="%1."/>
      <w:lvlJc w:val="left"/>
      <w:pPr>
        <w:tabs>
          <w:tab w:val="num" w:pos="1080"/>
        </w:tabs>
        <w:ind w:left="1080" w:hanging="720"/>
      </w:pPr>
      <w:rPr>
        <w:rFonts w:cs="Times New Roman" w:hint="default"/>
        <w:i w:val="0"/>
      </w:rPr>
    </w:lvl>
    <w:lvl w:ilvl="1" w:tplc="F4A64688">
      <w:start w:val="1"/>
      <w:numFmt w:val="lowerLetter"/>
      <w:lvlText w:val="%2."/>
      <w:lvlJc w:val="left"/>
      <w:pPr>
        <w:tabs>
          <w:tab w:val="num" w:pos="1440"/>
        </w:tabs>
        <w:ind w:left="1440" w:hanging="360"/>
      </w:pPr>
      <w:rPr>
        <w:rFonts w:cs="Times New Roman"/>
        <w:i w:val="0"/>
      </w:rPr>
    </w:lvl>
    <w:lvl w:ilvl="2" w:tplc="EB98E338">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C21DAE"/>
    <w:multiLevelType w:val="hybridMultilevel"/>
    <w:tmpl w:val="53D20C08"/>
    <w:lvl w:ilvl="0" w:tplc="4FC4A18E">
      <w:start w:val="1"/>
      <w:numFmt w:val="upperRoman"/>
      <w:lvlText w:val="%1."/>
      <w:lvlJc w:val="left"/>
      <w:pPr>
        <w:tabs>
          <w:tab w:val="num" w:pos="1080"/>
        </w:tabs>
        <w:ind w:left="1080" w:hanging="720"/>
      </w:pPr>
      <w:rPr>
        <w:rFonts w:cs="Times New Roman" w:hint="default"/>
        <w:i w:val="0"/>
      </w:rPr>
    </w:lvl>
    <w:lvl w:ilvl="1" w:tplc="F4A64688">
      <w:start w:val="1"/>
      <w:numFmt w:val="lowerLetter"/>
      <w:lvlText w:val="%2."/>
      <w:lvlJc w:val="left"/>
      <w:pPr>
        <w:tabs>
          <w:tab w:val="num" w:pos="1440"/>
        </w:tabs>
        <w:ind w:left="1440" w:hanging="360"/>
      </w:pPr>
      <w:rPr>
        <w:rFonts w:cs="Times New Roman"/>
        <w:i w:val="0"/>
      </w:rPr>
    </w:lvl>
    <w:lvl w:ilvl="2" w:tplc="EB98E338">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0A57"/>
    <w:rsid w:val="00013FBF"/>
    <w:rsid w:val="000162FC"/>
    <w:rsid w:val="000546F9"/>
    <w:rsid w:val="00072B6F"/>
    <w:rsid w:val="00080E5E"/>
    <w:rsid w:val="00084E58"/>
    <w:rsid w:val="00085064"/>
    <w:rsid w:val="00085CAE"/>
    <w:rsid w:val="000910F3"/>
    <w:rsid w:val="00092F13"/>
    <w:rsid w:val="000B5AA0"/>
    <w:rsid w:val="000B5B5E"/>
    <w:rsid w:val="000C382D"/>
    <w:rsid w:val="000C41DA"/>
    <w:rsid w:val="000D3064"/>
    <w:rsid w:val="000F4F3D"/>
    <w:rsid w:val="000F5D17"/>
    <w:rsid w:val="00101F99"/>
    <w:rsid w:val="001047B1"/>
    <w:rsid w:val="00110965"/>
    <w:rsid w:val="00110E04"/>
    <w:rsid w:val="0011105C"/>
    <w:rsid w:val="00126389"/>
    <w:rsid w:val="00131B9A"/>
    <w:rsid w:val="001340DA"/>
    <w:rsid w:val="00135953"/>
    <w:rsid w:val="00135B49"/>
    <w:rsid w:val="001442E1"/>
    <w:rsid w:val="001475FC"/>
    <w:rsid w:val="00150222"/>
    <w:rsid w:val="00156CB0"/>
    <w:rsid w:val="00163E91"/>
    <w:rsid w:val="00166B5D"/>
    <w:rsid w:val="001808B5"/>
    <w:rsid w:val="00183635"/>
    <w:rsid w:val="001852FD"/>
    <w:rsid w:val="001A1635"/>
    <w:rsid w:val="001A2FA6"/>
    <w:rsid w:val="001A57EB"/>
    <w:rsid w:val="001A60C9"/>
    <w:rsid w:val="001B7AD5"/>
    <w:rsid w:val="001C13C1"/>
    <w:rsid w:val="001D0047"/>
    <w:rsid w:val="001E13A0"/>
    <w:rsid w:val="001E2B8C"/>
    <w:rsid w:val="001E7BF3"/>
    <w:rsid w:val="00205A1B"/>
    <w:rsid w:val="00212B38"/>
    <w:rsid w:val="00214B9B"/>
    <w:rsid w:val="0021548C"/>
    <w:rsid w:val="00221C16"/>
    <w:rsid w:val="002227C2"/>
    <w:rsid w:val="00230AD3"/>
    <w:rsid w:val="0023223C"/>
    <w:rsid w:val="0023781B"/>
    <w:rsid w:val="00255C7B"/>
    <w:rsid w:val="00275206"/>
    <w:rsid w:val="00284FB0"/>
    <w:rsid w:val="002921DC"/>
    <w:rsid w:val="0029497B"/>
    <w:rsid w:val="002A3FA1"/>
    <w:rsid w:val="002B716D"/>
    <w:rsid w:val="002C3A0A"/>
    <w:rsid w:val="002C433F"/>
    <w:rsid w:val="002D7941"/>
    <w:rsid w:val="002F324A"/>
    <w:rsid w:val="002F4714"/>
    <w:rsid w:val="002F6904"/>
    <w:rsid w:val="003061FC"/>
    <w:rsid w:val="00321845"/>
    <w:rsid w:val="003225D1"/>
    <w:rsid w:val="00322F14"/>
    <w:rsid w:val="00324C3D"/>
    <w:rsid w:val="00327BAD"/>
    <w:rsid w:val="003324EC"/>
    <w:rsid w:val="00336DF6"/>
    <w:rsid w:val="0034782A"/>
    <w:rsid w:val="00350F8F"/>
    <w:rsid w:val="00351FB1"/>
    <w:rsid w:val="00351FF2"/>
    <w:rsid w:val="00375313"/>
    <w:rsid w:val="00381120"/>
    <w:rsid w:val="003824EC"/>
    <w:rsid w:val="00385734"/>
    <w:rsid w:val="00387A0B"/>
    <w:rsid w:val="00397B99"/>
    <w:rsid w:val="003A0014"/>
    <w:rsid w:val="003A07AF"/>
    <w:rsid w:val="003A2701"/>
    <w:rsid w:val="003A2FEA"/>
    <w:rsid w:val="003A452D"/>
    <w:rsid w:val="003C762F"/>
    <w:rsid w:val="003D5264"/>
    <w:rsid w:val="003F1F09"/>
    <w:rsid w:val="003F3490"/>
    <w:rsid w:val="003F4742"/>
    <w:rsid w:val="004178F7"/>
    <w:rsid w:val="004302DF"/>
    <w:rsid w:val="004314BA"/>
    <w:rsid w:val="004327E0"/>
    <w:rsid w:val="004412CC"/>
    <w:rsid w:val="00442372"/>
    <w:rsid w:val="0044253E"/>
    <w:rsid w:val="00445702"/>
    <w:rsid w:val="00450958"/>
    <w:rsid w:val="004659B5"/>
    <w:rsid w:val="00467634"/>
    <w:rsid w:val="00471D97"/>
    <w:rsid w:val="0048489C"/>
    <w:rsid w:val="00484F7C"/>
    <w:rsid w:val="004A5425"/>
    <w:rsid w:val="004A6878"/>
    <w:rsid w:val="004B01BD"/>
    <w:rsid w:val="004B4E5A"/>
    <w:rsid w:val="004B6DCC"/>
    <w:rsid w:val="004C064A"/>
    <w:rsid w:val="004C3426"/>
    <w:rsid w:val="004C4A2E"/>
    <w:rsid w:val="004D52FE"/>
    <w:rsid w:val="004D6651"/>
    <w:rsid w:val="004E1265"/>
    <w:rsid w:val="004E4C74"/>
    <w:rsid w:val="00501750"/>
    <w:rsid w:val="0050429A"/>
    <w:rsid w:val="005048E7"/>
    <w:rsid w:val="005078BD"/>
    <w:rsid w:val="00520103"/>
    <w:rsid w:val="0052273A"/>
    <w:rsid w:val="005270F8"/>
    <w:rsid w:val="00527EBA"/>
    <w:rsid w:val="005511CC"/>
    <w:rsid w:val="0055410E"/>
    <w:rsid w:val="00554141"/>
    <w:rsid w:val="0055499C"/>
    <w:rsid w:val="00556826"/>
    <w:rsid w:val="005573A7"/>
    <w:rsid w:val="0056440B"/>
    <w:rsid w:val="00585789"/>
    <w:rsid w:val="00594984"/>
    <w:rsid w:val="005A0749"/>
    <w:rsid w:val="005B266E"/>
    <w:rsid w:val="005C2B52"/>
    <w:rsid w:val="005C6445"/>
    <w:rsid w:val="005E05DA"/>
    <w:rsid w:val="005E514F"/>
    <w:rsid w:val="005F149C"/>
    <w:rsid w:val="005F1832"/>
    <w:rsid w:val="005F3389"/>
    <w:rsid w:val="00607F4C"/>
    <w:rsid w:val="0061283A"/>
    <w:rsid w:val="00614077"/>
    <w:rsid w:val="00627625"/>
    <w:rsid w:val="0063033B"/>
    <w:rsid w:val="006412DC"/>
    <w:rsid w:val="00655579"/>
    <w:rsid w:val="006559D1"/>
    <w:rsid w:val="00665E30"/>
    <w:rsid w:val="006677EF"/>
    <w:rsid w:val="006713FA"/>
    <w:rsid w:val="006727AE"/>
    <w:rsid w:val="00672C36"/>
    <w:rsid w:val="006861A9"/>
    <w:rsid w:val="006953BF"/>
    <w:rsid w:val="00697419"/>
    <w:rsid w:val="006A0B2F"/>
    <w:rsid w:val="006A75B1"/>
    <w:rsid w:val="006D1BBE"/>
    <w:rsid w:val="006D20AE"/>
    <w:rsid w:val="006D2F6F"/>
    <w:rsid w:val="006E2632"/>
    <w:rsid w:val="006E48C7"/>
    <w:rsid w:val="006F1D3B"/>
    <w:rsid w:val="00701CE2"/>
    <w:rsid w:val="00717B1D"/>
    <w:rsid w:val="00724FBB"/>
    <w:rsid w:val="007313D8"/>
    <w:rsid w:val="00741639"/>
    <w:rsid w:val="00742FE8"/>
    <w:rsid w:val="007528CB"/>
    <w:rsid w:val="007534C3"/>
    <w:rsid w:val="007702A3"/>
    <w:rsid w:val="0078584A"/>
    <w:rsid w:val="00790BBC"/>
    <w:rsid w:val="00793DD5"/>
    <w:rsid w:val="007D2E94"/>
    <w:rsid w:val="007D5964"/>
    <w:rsid w:val="007E6980"/>
    <w:rsid w:val="00814C24"/>
    <w:rsid w:val="0081526A"/>
    <w:rsid w:val="00815471"/>
    <w:rsid w:val="00815A2B"/>
    <w:rsid w:val="0082223D"/>
    <w:rsid w:val="0082225C"/>
    <w:rsid w:val="00823E41"/>
    <w:rsid w:val="00837919"/>
    <w:rsid w:val="008470F2"/>
    <w:rsid w:val="00851960"/>
    <w:rsid w:val="00857D55"/>
    <w:rsid w:val="008673CF"/>
    <w:rsid w:val="00871788"/>
    <w:rsid w:val="00884811"/>
    <w:rsid w:val="00891575"/>
    <w:rsid w:val="008936D8"/>
    <w:rsid w:val="008A5906"/>
    <w:rsid w:val="008D097C"/>
    <w:rsid w:val="008F20E0"/>
    <w:rsid w:val="008F6006"/>
    <w:rsid w:val="00900DD2"/>
    <w:rsid w:val="00904C24"/>
    <w:rsid w:val="00905C44"/>
    <w:rsid w:val="00912DBF"/>
    <w:rsid w:val="0093171A"/>
    <w:rsid w:val="00933603"/>
    <w:rsid w:val="009338C2"/>
    <w:rsid w:val="00935F64"/>
    <w:rsid w:val="00941C55"/>
    <w:rsid w:val="00947347"/>
    <w:rsid w:val="00956935"/>
    <w:rsid w:val="00971B87"/>
    <w:rsid w:val="009744A0"/>
    <w:rsid w:val="00983B0F"/>
    <w:rsid w:val="009856F6"/>
    <w:rsid w:val="00994FBF"/>
    <w:rsid w:val="009A1D5C"/>
    <w:rsid w:val="009C26E4"/>
    <w:rsid w:val="009C5695"/>
    <w:rsid w:val="009C6287"/>
    <w:rsid w:val="009C718C"/>
    <w:rsid w:val="009D7FBB"/>
    <w:rsid w:val="009E0EFA"/>
    <w:rsid w:val="009E2D37"/>
    <w:rsid w:val="009E359D"/>
    <w:rsid w:val="009E3FE5"/>
    <w:rsid w:val="009F091E"/>
    <w:rsid w:val="009F377A"/>
    <w:rsid w:val="009F61AE"/>
    <w:rsid w:val="00A00465"/>
    <w:rsid w:val="00A05943"/>
    <w:rsid w:val="00A125FB"/>
    <w:rsid w:val="00A158AE"/>
    <w:rsid w:val="00A278C0"/>
    <w:rsid w:val="00A43F5D"/>
    <w:rsid w:val="00A618E9"/>
    <w:rsid w:val="00A662A8"/>
    <w:rsid w:val="00A75A43"/>
    <w:rsid w:val="00A774DE"/>
    <w:rsid w:val="00A91E7C"/>
    <w:rsid w:val="00A9444C"/>
    <w:rsid w:val="00A958F1"/>
    <w:rsid w:val="00AA2776"/>
    <w:rsid w:val="00AC2113"/>
    <w:rsid w:val="00AC25CE"/>
    <w:rsid w:val="00AC3BA5"/>
    <w:rsid w:val="00AD257D"/>
    <w:rsid w:val="00AD57CF"/>
    <w:rsid w:val="00AF5AEA"/>
    <w:rsid w:val="00B13A8B"/>
    <w:rsid w:val="00B270F8"/>
    <w:rsid w:val="00B3041F"/>
    <w:rsid w:val="00B40EDC"/>
    <w:rsid w:val="00B44A21"/>
    <w:rsid w:val="00B474A3"/>
    <w:rsid w:val="00B56601"/>
    <w:rsid w:val="00B63A59"/>
    <w:rsid w:val="00B64976"/>
    <w:rsid w:val="00BA10DF"/>
    <w:rsid w:val="00BB2075"/>
    <w:rsid w:val="00BB5D57"/>
    <w:rsid w:val="00BD075E"/>
    <w:rsid w:val="00BD302A"/>
    <w:rsid w:val="00BE3013"/>
    <w:rsid w:val="00BE5F0B"/>
    <w:rsid w:val="00BE7237"/>
    <w:rsid w:val="00BF59E5"/>
    <w:rsid w:val="00C074A5"/>
    <w:rsid w:val="00C155D2"/>
    <w:rsid w:val="00C17AA8"/>
    <w:rsid w:val="00C2289A"/>
    <w:rsid w:val="00C22B82"/>
    <w:rsid w:val="00C26871"/>
    <w:rsid w:val="00C27B34"/>
    <w:rsid w:val="00C34339"/>
    <w:rsid w:val="00C4344C"/>
    <w:rsid w:val="00C4412C"/>
    <w:rsid w:val="00C44598"/>
    <w:rsid w:val="00C44B79"/>
    <w:rsid w:val="00C477A3"/>
    <w:rsid w:val="00C57ED7"/>
    <w:rsid w:val="00C866B4"/>
    <w:rsid w:val="00C872E4"/>
    <w:rsid w:val="00CC225D"/>
    <w:rsid w:val="00CC326E"/>
    <w:rsid w:val="00CD1705"/>
    <w:rsid w:val="00CD6816"/>
    <w:rsid w:val="00CE5D40"/>
    <w:rsid w:val="00D02F88"/>
    <w:rsid w:val="00D1466E"/>
    <w:rsid w:val="00D17C56"/>
    <w:rsid w:val="00D30368"/>
    <w:rsid w:val="00D30438"/>
    <w:rsid w:val="00D31342"/>
    <w:rsid w:val="00D40BD0"/>
    <w:rsid w:val="00D66C3A"/>
    <w:rsid w:val="00D7260E"/>
    <w:rsid w:val="00D83E19"/>
    <w:rsid w:val="00D87E76"/>
    <w:rsid w:val="00D914D4"/>
    <w:rsid w:val="00D941A7"/>
    <w:rsid w:val="00DA5856"/>
    <w:rsid w:val="00DB1C87"/>
    <w:rsid w:val="00DC0418"/>
    <w:rsid w:val="00DC4221"/>
    <w:rsid w:val="00DD1D04"/>
    <w:rsid w:val="00DD3D56"/>
    <w:rsid w:val="00DD7664"/>
    <w:rsid w:val="00DE66D0"/>
    <w:rsid w:val="00E20079"/>
    <w:rsid w:val="00E23611"/>
    <w:rsid w:val="00E26695"/>
    <w:rsid w:val="00E30EFD"/>
    <w:rsid w:val="00E4081E"/>
    <w:rsid w:val="00E55519"/>
    <w:rsid w:val="00E55A25"/>
    <w:rsid w:val="00E55D31"/>
    <w:rsid w:val="00E61064"/>
    <w:rsid w:val="00E66418"/>
    <w:rsid w:val="00E665B3"/>
    <w:rsid w:val="00E70F92"/>
    <w:rsid w:val="00E75BD5"/>
    <w:rsid w:val="00E82D66"/>
    <w:rsid w:val="00E87F3D"/>
    <w:rsid w:val="00EA7DA3"/>
    <w:rsid w:val="00EB4587"/>
    <w:rsid w:val="00EB5795"/>
    <w:rsid w:val="00EB61AE"/>
    <w:rsid w:val="00ED1EFD"/>
    <w:rsid w:val="00ED2DB2"/>
    <w:rsid w:val="00EE0AE2"/>
    <w:rsid w:val="00EE6D4E"/>
    <w:rsid w:val="00EF017C"/>
    <w:rsid w:val="00EF4023"/>
    <w:rsid w:val="00F07C91"/>
    <w:rsid w:val="00F10B98"/>
    <w:rsid w:val="00F1152A"/>
    <w:rsid w:val="00F13A52"/>
    <w:rsid w:val="00F15E64"/>
    <w:rsid w:val="00F1609A"/>
    <w:rsid w:val="00F22DCF"/>
    <w:rsid w:val="00F308FC"/>
    <w:rsid w:val="00F46CBD"/>
    <w:rsid w:val="00F47E3B"/>
    <w:rsid w:val="00F51477"/>
    <w:rsid w:val="00F52B46"/>
    <w:rsid w:val="00F57B2B"/>
    <w:rsid w:val="00F72EBD"/>
    <w:rsid w:val="00F85D22"/>
    <w:rsid w:val="00F9665B"/>
    <w:rsid w:val="00FB1D87"/>
    <w:rsid w:val="00FB3585"/>
    <w:rsid w:val="00FB3663"/>
    <w:rsid w:val="00FB4593"/>
    <w:rsid w:val="00FB55A3"/>
    <w:rsid w:val="00FC2D98"/>
    <w:rsid w:val="00FC7650"/>
    <w:rsid w:val="00FF0D7F"/>
    <w:rsid w:val="00FF49BB"/>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17B1D"/>
    <w:rPr>
      <w:sz w:val="20"/>
      <w:szCs w:val="20"/>
    </w:rPr>
  </w:style>
  <w:style w:type="character" w:customStyle="1" w:styleId="FootnoteTextChar">
    <w:name w:val="Footnote Text Char"/>
    <w:basedOn w:val="DefaultParagraphFont"/>
    <w:link w:val="FootnoteText"/>
    <w:rsid w:val="00717B1D"/>
  </w:style>
  <w:style w:type="character" w:styleId="FootnoteReference">
    <w:name w:val="footnote reference"/>
    <w:basedOn w:val="DefaultParagraphFont"/>
    <w:rsid w:val="00717B1D"/>
    <w:rPr>
      <w:vertAlign w:val="superscript"/>
    </w:rPr>
  </w:style>
  <w:style w:type="character" w:styleId="Hyperlink">
    <w:name w:val="Hyperlink"/>
    <w:basedOn w:val="DefaultParagraphFont"/>
    <w:uiPriority w:val="99"/>
    <w:unhideWhenUsed/>
    <w:rsid w:val="00717B1D"/>
    <w:rPr>
      <w:color w:val="0000FF"/>
      <w:u w:val="single"/>
    </w:rPr>
  </w:style>
  <w:style w:type="paragraph" w:styleId="BalloonText">
    <w:name w:val="Balloon Text"/>
    <w:basedOn w:val="Normal"/>
    <w:link w:val="BalloonTextChar"/>
    <w:rsid w:val="00A958F1"/>
    <w:rPr>
      <w:rFonts w:ascii="Tahoma" w:hAnsi="Tahoma" w:cs="Tahoma"/>
      <w:sz w:val="16"/>
      <w:szCs w:val="16"/>
    </w:rPr>
  </w:style>
  <w:style w:type="character" w:customStyle="1" w:styleId="BalloonTextChar">
    <w:name w:val="Balloon Text Char"/>
    <w:basedOn w:val="DefaultParagraphFont"/>
    <w:link w:val="BalloonText"/>
    <w:rsid w:val="00A958F1"/>
    <w:rPr>
      <w:rFonts w:ascii="Tahoma" w:hAnsi="Tahoma" w:cs="Tahoma"/>
      <w:sz w:val="16"/>
      <w:szCs w:val="16"/>
    </w:rPr>
  </w:style>
  <w:style w:type="character" w:styleId="PlaceholderText">
    <w:name w:val="Placeholder Text"/>
    <w:basedOn w:val="DefaultParagraphFont"/>
    <w:uiPriority w:val="99"/>
    <w:semiHidden/>
    <w:rsid w:val="00A958F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igc.org/article/cycling-school-increasing-high-school-enrollment-girls-bih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economistsview.typepad.com/economistsview/2009/11/will-consumption-growth-return-to-its-prerecession-leve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55C59-9172-4DAD-9B16-37A62C6C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8279</CharactersWithSpaces>
  <SharedDoc>false</SharedDoc>
  <HLinks>
    <vt:vector size="6" baseType="variant">
      <vt:variant>
        <vt:i4>3997819</vt:i4>
      </vt:variant>
      <vt:variant>
        <vt:i4>0</vt:i4>
      </vt:variant>
      <vt:variant>
        <vt:i4>0</vt:i4>
      </vt:variant>
      <vt:variant>
        <vt:i4>5</vt:i4>
      </vt:variant>
      <vt:variant>
        <vt:lpwstr>http://economistsview.typepad.com/economistsview/2009/11/will-consumption-growth-return-to-its-prerecession-level.html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8</cp:revision>
  <cp:lastPrinted>2012-03-04T05:13:00Z</cp:lastPrinted>
  <dcterms:created xsi:type="dcterms:W3CDTF">2012-12-28T23:33:00Z</dcterms:created>
  <dcterms:modified xsi:type="dcterms:W3CDTF">2013-05-01T01:28:00Z</dcterms:modified>
</cp:coreProperties>
</file>